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639" w:type="dxa"/>
        <w:jc w:val="center"/>
        <w:tblInd w:w="0" w:type="dxa"/>
        <w:tblLayout w:type="fixed"/>
        <w:tblCellMar>
          <w:left w:w="0" w:type="dxa"/>
          <w:top w:w="0" w:type="dxa"/>
          <w:right w:w="0" w:type="dxa"/>
          <w:bottom w:w="0" w:type="dxa"/>
        </w:tblCellMar>
        <w:tblLook w:val="01E0" w:firstRow="1" w:lastRow="1" w:firstColumn="1" w:lastColumn="1" w:noHBand="0" w:noVBand="0"/>
      </w:tblPr>
      <w:tblGrid>
        <w:gridCol w:w="9639"/>
      </w:tblGrid>
      <w:tr>
        <w:tblPrEx/>
        <w:trPr/>
        <w:tc>
          <w:tcPr>
            <w:tcW w:w="9639" w:type="dxa"/>
            <w:textDirection w:val="lrTb"/>
            <w:noWrap w:val="false"/>
          </w:tcPr>
          <w:p>
            <w:pPr>
              <w:pStyle w:val="829"/>
              <w:jc w:val="center"/>
              <w:widowControl/>
              <w:rPr>
                <w:b/>
                <w:sz w:val="28"/>
              </w:rPr>
            </w:pPr>
            <w:r>
              <w:rPr>
                <w:b/>
                <w:sz w:val="28"/>
              </w:rPr>
              <mc:AlternateContent>
                <mc:Choice Requires="wpg">
                  <w:drawing>
                    <wp:anchor xmlns:wp="http://schemas.openxmlformats.org/drawingml/2006/wordprocessingDrawing" xmlns:wp14="http://schemas.microsoft.com/office/word/2010/wordprocessingDrawing" distT="0" distB="0" distL="0" distR="0" simplePos="0" relativeHeight="2" behindDoc="0" locked="0" layoutInCell="1" allowOverlap="1">
                      <wp:simplePos x="0" y="0"/>
                      <wp:positionH relativeFrom="column">
                        <wp:posOffset>2735580</wp:posOffset>
                      </wp:positionH>
                      <wp:positionV relativeFrom="paragraph">
                        <wp:posOffset>-333375</wp:posOffset>
                      </wp:positionV>
                      <wp:extent cx="726440" cy="959485"/>
                      <wp:effectExtent l="0" t="0" r="0" b="0"/>
                      <wp:wrapNone/>
                      <wp:docPr id="1" name="Рисунок 1" descr="Описание: D:\Цветной герб для бл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D:\Цветной герб для бланка.png"/>
                              <pic:cNvPicPr>
                                <a:picLocks noChangeAspect="1"/>
                              </pic:cNvPicPr>
                              <pic:nvPr/>
                            </pic:nvPicPr>
                            <pic:blipFill>
                              <a:blip r:embed="rId10"/>
                              <a:stretch/>
                            </pic:blipFill>
                            <pic:spPr bwMode="auto">
                              <a:xfrm>
                                <a:off x="0" y="0"/>
                                <a:ext cx="726440" cy="959485"/>
                              </a:xfrm>
                              <a:prstGeom prst="rect">
                                <a:avLst/>
                              </a:prstGeom>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o:allowoverlap:true;o:allowincell:true;mso-position-horizontal-relative:text;margin-left:215.40pt;mso-position-horizontal:absolute;mso-position-vertical-relative:text;margin-top:-26.25pt;mso-position-vertical:absolute;width:57.20pt;height:75.55pt;mso-wrap-distance-left:0.00pt;mso-wrap-distance-top:0.00pt;mso-wrap-distance-right:0.00pt;mso-wrap-distance-bottom:0.00pt;" stroked="false">
                      <v:path textboxrect="0,0,0,0"/>
                      <v:imagedata r:id="rId10" o:title=""/>
                    </v:shape>
                  </w:pict>
                </mc:Fallback>
              </mc:AlternateContent>
            </w:r>
            <w:bookmarkStart w:id="1" w:name="_GoBack"/>
            <w:r/>
            <w:bookmarkEnd w:id="1"/>
            <w:r>
              <w:rPr>
                <w:b/>
                <w:sz w:val="28"/>
              </w:rPr>
            </w:r>
            <w:r>
              <w:rPr>
                <w:b/>
                <w:sz w:val="28"/>
              </w:rPr>
            </w:r>
          </w:p>
        </w:tc>
      </w:tr>
      <w:tr>
        <w:tblPrEx/>
        <w:trPr/>
        <w:tc>
          <w:tcPr>
            <w:tcW w:w="9639" w:type="dxa"/>
            <w:textDirection w:val="lrTb"/>
            <w:noWrap w:val="false"/>
          </w:tcPr>
          <w:p>
            <w:pPr>
              <w:pStyle w:val="829"/>
              <w:jc w:val="center"/>
              <w:widowControl/>
              <w:rPr>
                <w:sz w:val="30"/>
              </w:rPr>
            </w:pPr>
            <w:r>
              <w:rPr>
                <w:sz w:val="30"/>
              </w:rPr>
            </w:r>
            <w:r>
              <w:rPr>
                <w:sz w:val="30"/>
              </w:rPr>
            </w:r>
            <w:r>
              <w:rPr>
                <w:sz w:val="30"/>
              </w:rPr>
            </w:r>
          </w:p>
        </w:tc>
      </w:tr>
      <w:tr>
        <w:tblPrEx/>
        <w:trPr/>
        <w:tc>
          <w:tcPr>
            <w:tcW w:w="9639" w:type="dxa"/>
            <w:textDirection w:val="lrTb"/>
            <w:noWrap w:val="false"/>
          </w:tcPr>
          <w:p>
            <w:pPr>
              <w:pStyle w:val="829"/>
              <w:jc w:val="center"/>
              <w:widowControl/>
              <w:rPr>
                <w:sz w:val="30"/>
              </w:rPr>
            </w:pPr>
            <w:r>
              <w:rPr>
                <w:sz w:val="30"/>
              </w:rPr>
            </w:r>
            <w:r>
              <w:rPr>
                <w:sz w:val="30"/>
              </w:rPr>
            </w:r>
            <w:r>
              <w:rPr>
                <w:sz w:val="30"/>
              </w:rPr>
            </w:r>
          </w:p>
        </w:tc>
      </w:tr>
      <w:tr>
        <w:tblPrEx/>
        <w:trPr/>
        <w:tc>
          <w:tcPr>
            <w:tcW w:w="9639" w:type="dxa"/>
            <w:textDirection w:val="lrTb"/>
            <w:noWrap w:val="false"/>
          </w:tcPr>
          <w:p>
            <w:pPr>
              <w:pStyle w:val="829"/>
              <w:jc w:val="center"/>
              <w:widowControl/>
              <w:rPr>
                <w:sz w:val="30"/>
              </w:rPr>
            </w:pPr>
            <w:r>
              <w:rPr>
                <w:sz w:val="30"/>
              </w:rPr>
            </w:r>
            <w:r>
              <w:rPr>
                <w:sz w:val="30"/>
              </w:rPr>
            </w:r>
            <w:r>
              <w:rPr>
                <w:sz w:val="30"/>
              </w:rPr>
            </w:r>
          </w:p>
        </w:tc>
      </w:tr>
      <w:tr>
        <w:tblPrEx/>
        <w:trPr/>
        <w:tc>
          <w:tcPr>
            <w:tcW w:w="9639" w:type="dxa"/>
            <w:textDirection w:val="lrTb"/>
            <w:noWrap w:val="false"/>
          </w:tcPr>
          <w:p>
            <w:pPr>
              <w:pStyle w:val="829"/>
              <w:jc w:val="center"/>
              <w:widowControl/>
              <w:rPr>
                <w:b/>
                <w:sz w:val="36"/>
              </w:rPr>
            </w:pPr>
            <w:r>
              <w:rPr>
                <w:b/>
                <w:sz w:val="36"/>
              </w:rPr>
              <w:t xml:space="preserve">ПРАВИТЕЛЬСТВО ПЕНЗЕНСКОЙ ОБЛАСТИ</w:t>
            </w:r>
            <w:r>
              <w:rPr>
                <w:b/>
                <w:sz w:val="36"/>
              </w:rPr>
            </w:r>
            <w:r>
              <w:rPr>
                <w:b/>
                <w:sz w:val="36"/>
              </w:rPr>
            </w:r>
          </w:p>
        </w:tc>
      </w:tr>
      <w:tr>
        <w:tblPrEx/>
        <w:trPr/>
        <w:tc>
          <w:tcPr>
            <w:tcW w:w="9639" w:type="dxa"/>
            <w:textDirection w:val="lrTb"/>
            <w:noWrap w:val="false"/>
          </w:tcPr>
          <w:p>
            <w:pPr>
              <w:pStyle w:val="829"/>
              <w:jc w:val="center"/>
              <w:widowControl/>
              <w:rPr>
                <w:sz w:val="36"/>
              </w:rPr>
            </w:pPr>
            <w:r>
              <w:rPr>
                <w:sz w:val="36"/>
              </w:rPr>
            </w:r>
            <w:r>
              <w:rPr>
                <w:sz w:val="36"/>
              </w:rPr>
            </w:r>
            <w:r>
              <w:rPr>
                <w:sz w:val="36"/>
              </w:rPr>
            </w:r>
          </w:p>
        </w:tc>
      </w:tr>
      <w:tr>
        <w:tblPrEx/>
        <w:trPr/>
        <w:tc>
          <w:tcPr>
            <w:tcW w:w="9639" w:type="dxa"/>
            <w:textDirection w:val="lrTb"/>
            <w:noWrap w:val="false"/>
          </w:tcPr>
          <w:p>
            <w:pPr>
              <w:pStyle w:val="832"/>
            </w:pPr>
            <w:r>
              <w:rPr>
                <w:sz w:val="28"/>
              </w:rPr>
              <w:t xml:space="preserve">П О С Т А Н О В Л Е Н И Е</w:t>
            </w:r>
            <w:r/>
          </w:p>
        </w:tc>
      </w:tr>
      <w:tr>
        <w:tblPrEx/>
        <w:trPr/>
        <w:tc>
          <w:tcPr>
            <w:tcW w:w="9639" w:type="dxa"/>
            <w:vAlign w:val="center"/>
            <w:textDirection w:val="lrTb"/>
            <w:noWrap w:val="false"/>
          </w:tcPr>
          <w:p>
            <w:pPr>
              <w:pStyle w:val="832"/>
              <w:rPr>
                <w:sz w:val="32"/>
                <w:szCs w:val="34"/>
              </w:rPr>
            </w:pPr>
            <w:r>
              <w:rPr>
                <w:sz w:val="32"/>
                <w:szCs w:val="34"/>
              </w:rPr>
            </w:r>
            <w:r>
              <w:rPr>
                <w:sz w:val="32"/>
                <w:szCs w:val="34"/>
              </w:rPr>
            </w:r>
            <w:r>
              <w:rPr>
                <w:sz w:val="32"/>
                <w:szCs w:val="34"/>
              </w:rPr>
            </w:r>
          </w:p>
        </w:tc>
      </w:tr>
    </w:tbl>
    <w:p>
      <w:pPr>
        <w:pStyle w:val="829"/>
        <w:rPr>
          <w:sz w:val="4"/>
          <w:szCs w:val="4"/>
        </w:rPr>
      </w:pPr>
      <w:r>
        <w:rPr>
          <w:sz w:val="4"/>
          <w:szCs w:val="4"/>
        </w:rPr>
      </w:r>
      <w:r>
        <w:rPr>
          <w:sz w:val="4"/>
          <w:szCs w:val="4"/>
        </w:rPr>
      </w:r>
      <w:r>
        <w:rPr>
          <w:sz w:val="4"/>
          <w:szCs w:val="4"/>
        </w:rPr>
      </w:r>
    </w:p>
    <w:tbl>
      <w:tblPr>
        <w:tblW w:w="4651" w:type="dxa"/>
        <w:jc w:val="center"/>
        <w:tblInd w:w="0" w:type="dxa"/>
        <w:tblLayout w:type="fixed"/>
        <w:tblCellMar>
          <w:left w:w="0" w:type="dxa"/>
          <w:top w:w="0" w:type="dxa"/>
          <w:right w:w="0" w:type="dxa"/>
          <w:bottom w:w="0" w:type="dxa"/>
        </w:tblCellMar>
        <w:tblLook w:val="0000" w:firstRow="0" w:lastRow="0" w:firstColumn="0" w:lastColumn="0" w:noHBand="0" w:noVBand="0"/>
      </w:tblPr>
      <w:tblGrid>
        <w:gridCol w:w="284"/>
        <w:gridCol w:w="2835"/>
        <w:gridCol w:w="397"/>
        <w:gridCol w:w="1134"/>
      </w:tblGrid>
      <w:tr>
        <w:tblPrEx/>
        <w:trPr/>
        <w:tc>
          <w:tcPr>
            <w:tcW w:w="284" w:type="dxa"/>
            <w:vAlign w:val="bottom"/>
            <w:textDirection w:val="lrTb"/>
            <w:noWrap w:val="false"/>
          </w:tcPr>
          <w:p>
            <w:pPr>
              <w:pStyle w:val="829"/>
              <w:widowControl/>
              <w:rPr>
                <w:sz w:val="24"/>
              </w:rPr>
            </w:pPr>
            <w:r>
              <w:rPr>
                <w:sz w:val="24"/>
              </w:rPr>
            </w:r>
            <w:r>
              <w:rPr>
                <w:sz w:val="24"/>
              </w:rPr>
            </w:r>
            <w:r>
              <w:rPr>
                <w:sz w:val="24"/>
              </w:rPr>
            </w:r>
          </w:p>
        </w:tc>
        <w:tc>
          <w:tcPr>
            <w:tcBorders>
              <w:bottom w:val="single" w:color="000000" w:sz="6" w:space="0"/>
            </w:tcBorders>
            <w:tcW w:w="2835" w:type="dxa"/>
            <w:textDirection w:val="lrTb"/>
            <w:noWrap w:val="false"/>
          </w:tcPr>
          <w:p>
            <w:pPr>
              <w:pStyle w:val="829"/>
              <w:jc w:val="center"/>
              <w:widowControl/>
              <w:rPr>
                <w:sz w:val="24"/>
              </w:rPr>
            </w:pPr>
            <w:r>
              <w:rPr>
                <w:sz w:val="24"/>
              </w:rPr>
              <w:t xml:space="preserve">21.01.2025</w:t>
            </w:r>
            <w:r>
              <w:rPr>
                <w:sz w:val="24"/>
              </w:rPr>
            </w:r>
            <w:r>
              <w:rPr>
                <w:sz w:val="24"/>
              </w:rPr>
            </w:r>
          </w:p>
        </w:tc>
        <w:tc>
          <w:tcPr>
            <w:tcW w:w="397" w:type="dxa"/>
            <w:vAlign w:val="bottom"/>
            <w:textDirection w:val="lrTb"/>
            <w:noWrap w:val="false"/>
          </w:tcPr>
          <w:p>
            <w:pPr>
              <w:pStyle w:val="829"/>
              <w:jc w:val="center"/>
              <w:widowControl/>
              <w:rPr>
                <w:sz w:val="24"/>
              </w:rPr>
            </w:pPr>
            <w:r>
              <w:rPr>
                <w:sz w:val="24"/>
              </w:rPr>
              <w:t xml:space="preserve">№</w:t>
            </w:r>
            <w:r>
              <w:rPr>
                <w:sz w:val="24"/>
              </w:rPr>
            </w:r>
            <w:r>
              <w:rPr>
                <w:sz w:val="24"/>
              </w:rPr>
            </w:r>
          </w:p>
        </w:tc>
        <w:tc>
          <w:tcPr>
            <w:tcBorders>
              <w:bottom w:val="single" w:color="000000" w:sz="6" w:space="0"/>
            </w:tcBorders>
            <w:tcW w:w="1134" w:type="dxa"/>
            <w:textDirection w:val="lrTb"/>
            <w:noWrap w:val="false"/>
          </w:tcPr>
          <w:p>
            <w:pPr>
              <w:pStyle w:val="829"/>
              <w:jc w:val="center"/>
              <w:widowControl/>
              <w:rPr>
                <w:sz w:val="24"/>
              </w:rPr>
            </w:pPr>
            <w:r>
              <w:rPr>
                <w:sz w:val="24"/>
              </w:rPr>
              <w:t xml:space="preserve">49-пП</w:t>
            </w:r>
            <w:r>
              <w:rPr>
                <w:sz w:val="24"/>
              </w:rPr>
            </w:r>
            <w:r>
              <w:rPr>
                <w:sz w:val="24"/>
              </w:rPr>
            </w:r>
          </w:p>
        </w:tc>
      </w:tr>
      <w:tr>
        <w:tblPrEx/>
        <w:trPr/>
        <w:tc>
          <w:tcPr>
            <w:gridSpan w:val="4"/>
            <w:tcW w:w="4650" w:type="dxa"/>
            <w:textDirection w:val="lrTb"/>
            <w:noWrap w:val="false"/>
          </w:tcPr>
          <w:p>
            <w:pPr>
              <w:pStyle w:val="829"/>
              <w:jc w:val="center"/>
              <w:widowControl/>
              <w:rPr>
                <w:sz w:val="10"/>
              </w:rPr>
            </w:pPr>
            <w:r>
              <w:rPr>
                <w:sz w:val="10"/>
              </w:rPr>
            </w:r>
            <w:r>
              <w:rPr>
                <w:sz w:val="10"/>
              </w:rPr>
            </w:r>
            <w:r>
              <w:rPr>
                <w:sz w:val="10"/>
              </w:rPr>
            </w:r>
          </w:p>
          <w:p>
            <w:pPr>
              <w:pStyle w:val="829"/>
              <w:jc w:val="center"/>
              <w:widowControl/>
              <w:rPr>
                <w:sz w:val="24"/>
              </w:rPr>
            </w:pPr>
            <w:r>
              <w:rPr>
                <w:sz w:val="24"/>
              </w:rPr>
              <w:t xml:space="preserve">г. Пенза</w:t>
            </w:r>
            <w:r>
              <w:rPr>
                <w:sz w:val="24"/>
              </w:rPr>
            </w:r>
            <w:r>
              <w:rPr>
                <w:sz w:val="24"/>
              </w:rPr>
            </w:r>
          </w:p>
        </w:tc>
      </w:tr>
    </w:tbl>
    <w:p>
      <w:pPr>
        <w:pStyle w:val="829"/>
        <w:jc w:val="both"/>
        <w:spacing w:line="218" w:lineRule="auto"/>
        <w:rPr>
          <w:sz w:val="28"/>
        </w:rPr>
      </w:pPr>
      <w:r>
        <w:rPr>
          <w:sz w:val="28"/>
        </w:rPr>
      </w:r>
      <w:r>
        <w:rPr>
          <w:sz w:val="28"/>
        </w:rPr>
      </w:r>
      <w:r>
        <w:rPr>
          <w:sz w:val="28"/>
        </w:rPr>
      </w:r>
    </w:p>
    <w:p>
      <w:pPr>
        <w:pStyle w:val="851"/>
        <w:ind w:firstLine="0"/>
        <w:jc w:val="center"/>
        <w:spacing w:line="218" w:lineRule="auto"/>
        <w:rPr>
          <w:rFonts w:ascii="Times New Roman" w:hAnsi="Times New Roman" w:cs="Times New Roman"/>
          <w:b/>
          <w:sz w:val="28"/>
          <w:szCs w:val="28"/>
        </w:rPr>
      </w:pPr>
      <w:r>
        <w:rPr>
          <w:rFonts w:ascii="Times New Roman" w:hAnsi="Times New Roman" w:cs="Times New Roman"/>
          <w:b/>
          <w:sz w:val="28"/>
          <w:szCs w:val="28"/>
        </w:rPr>
        <w:t xml:space="preserve">О внесении изменений в постановление Правительства </w:t>
        <w:br/>
        <w:t xml:space="preserve">Пензенской области от 27.02.2014 № 126-пП </w:t>
        <w:br/>
        <w:t xml:space="preserve">(с последующими изменениями) </w:t>
      </w:r>
      <w:r>
        <w:rPr>
          <w:rFonts w:ascii="Times New Roman" w:hAnsi="Times New Roman" w:cs="Times New Roman"/>
          <w:b/>
          <w:sz w:val="28"/>
          <w:szCs w:val="28"/>
        </w:rPr>
      </w:r>
      <w:r>
        <w:rPr>
          <w:rFonts w:ascii="Times New Roman" w:hAnsi="Times New Roman" w:cs="Times New Roman"/>
          <w:b/>
          <w:sz w:val="28"/>
          <w:szCs w:val="28"/>
        </w:rPr>
      </w:r>
    </w:p>
    <w:p>
      <w:pPr>
        <w:pStyle w:val="851"/>
        <w:ind w:firstLine="709"/>
        <w:jc w:val="both"/>
        <w:spacing w:line="218"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829"/>
        <w:ind w:firstLine="709"/>
        <w:jc w:val="both"/>
        <w:spacing w:line="218" w:lineRule="auto"/>
        <w:widowControl/>
        <w:rPr>
          <w:sz w:val="28"/>
          <w:szCs w:val="28"/>
        </w:rPr>
      </w:pPr>
      <w:r>
        <w:rPr>
          <w:sz w:val="28"/>
          <w:szCs w:val="28"/>
        </w:rPr>
        <w:t xml:space="preserve">В целях приведения нормативного правового акта Правительства Пензенской области в соответствие с действующим законодательством, руководствуясь Законом Пензенской области от 21.04.2023 № 4006-ЗПО                    «О Правительстве Пензенской области» (</w:t>
      </w:r>
      <w:r>
        <w:rPr>
          <w:sz w:val="28"/>
          <w:szCs w:val="28"/>
          <w:lang w:val="en-US"/>
        </w:rPr>
        <w:t xml:space="preserve">c</w:t>
      </w:r>
      <w:r>
        <w:rPr>
          <w:sz w:val="28"/>
          <w:szCs w:val="28"/>
        </w:rPr>
        <w:t xml:space="preserve"> последующими изменениями), Правительство Пензенской области </w:t>
      </w:r>
      <w:r>
        <w:rPr>
          <w:b/>
          <w:sz w:val="28"/>
          <w:szCs w:val="28"/>
        </w:rPr>
        <w:t xml:space="preserve">п о с т а н о в л я е т:</w:t>
      </w:r>
      <w:r>
        <w:rPr>
          <w:sz w:val="28"/>
          <w:szCs w:val="28"/>
        </w:rPr>
      </w:r>
      <w:r>
        <w:rPr>
          <w:sz w:val="28"/>
          <w:szCs w:val="28"/>
        </w:rPr>
      </w:r>
    </w:p>
    <w:p>
      <w:pPr>
        <w:pStyle w:val="852"/>
        <w:numPr>
          <w:ilvl w:val="0"/>
          <w:numId w:val="1"/>
        </w:numPr>
        <w:ind w:left="0" w:firstLine="709"/>
        <w:jc w:val="both"/>
        <w:spacing w:line="218" w:lineRule="auto"/>
        <w:widowControl/>
        <w:tabs>
          <w:tab w:val="clear" w:pos="708" w:leader="none"/>
          <w:tab w:val="left" w:pos="993" w:leader="none"/>
        </w:tabs>
        <w:rPr>
          <w:spacing w:val="-4"/>
          <w:sz w:val="28"/>
          <w:szCs w:val="28"/>
        </w:rPr>
      </w:pPr>
      <w:r>
        <w:rPr>
          <w:spacing w:val="-4"/>
          <w:sz w:val="28"/>
          <w:szCs w:val="28"/>
        </w:rPr>
        <w:t xml:space="preserve">Внести в </w:t>
      </w:r>
      <w:hyperlink r:id="rId11" w:tooltip="https://login.consultant.ru/link/?req=doc&amp;base=RLAW021&amp;n=185601" w:history="1">
        <w:r>
          <w:rPr>
            <w:spacing w:val="-4"/>
            <w:sz w:val="28"/>
            <w:szCs w:val="28"/>
          </w:rPr>
          <w:t xml:space="preserve">постановление</w:t>
        </w:r>
      </w:hyperlink>
      <w:r>
        <w:rPr>
          <w:spacing w:val="-4"/>
          <w:sz w:val="28"/>
          <w:szCs w:val="28"/>
        </w:rPr>
        <w:t xml:space="preserve"> Правительства Пензенской области от 27.02.2014</w:t>
      </w:r>
      <w:r>
        <w:rPr>
          <w:sz w:val="28"/>
          <w:szCs w:val="28"/>
        </w:rPr>
        <w:t xml:space="preserve"> № 126-пП «</w:t>
      </w:r>
      <w:r>
        <w:rPr>
          <w:spacing w:val="-4"/>
          <w:sz w:val="28"/>
          <w:szCs w:val="28"/>
        </w:rPr>
        <w:t xml:space="preserve">Об утверждении порядков реализации комплекса процессных мероприятий</w:t>
      </w:r>
      <w:r>
        <w:rPr>
          <w:sz w:val="28"/>
          <w:szCs w:val="28"/>
        </w:rPr>
        <w:t xml:space="preserve"> «Социальная поддержка отдельных категорий граждан Пензенской области при улучшении жилищных условий» и мероприятия регионального проекта «</w:t>
      </w:r>
      <w:r>
        <w:rPr>
          <w:spacing w:val="-4"/>
          <w:sz w:val="28"/>
          <w:szCs w:val="28"/>
        </w:rPr>
        <w:t xml:space="preserve">Финансовая поддержка семей при рождении детей» государственной программы</w:t>
      </w:r>
      <w:r>
        <w:rPr>
          <w:sz w:val="28"/>
          <w:szCs w:val="28"/>
        </w:rPr>
        <w:t xml:space="preserve"> Пензенской области «Социальная поддержка граждан в Пензенской области» </w:t>
      </w:r>
      <w:r>
        <w:rPr>
          <w:spacing w:val="-4"/>
          <w:sz w:val="28"/>
          <w:szCs w:val="28"/>
        </w:rPr>
        <w:t xml:space="preserve">(с последующими изменениями) (далее - постановление) следующие изменения:</w:t>
      </w:r>
      <w:r>
        <w:rPr>
          <w:spacing w:val="-4"/>
          <w:sz w:val="28"/>
          <w:szCs w:val="28"/>
        </w:rPr>
      </w:r>
      <w:r>
        <w:rPr>
          <w:spacing w:val="-4"/>
          <w:sz w:val="28"/>
          <w:szCs w:val="28"/>
        </w:rPr>
      </w:r>
    </w:p>
    <w:p>
      <w:pPr>
        <w:pStyle w:val="852"/>
        <w:numPr>
          <w:ilvl w:val="1"/>
          <w:numId w:val="1"/>
        </w:numPr>
        <w:ind w:left="0" w:firstLine="709"/>
        <w:jc w:val="both"/>
        <w:spacing w:line="218"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в наименовании постановления слова «и мероприятия регионального проекта «Финансовая поддержка семей при рождении детей» исключить;</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1"/>
          <w:numId w:val="1"/>
        </w:numPr>
        <w:ind w:left="0" w:firstLine="709"/>
        <w:jc w:val="both"/>
        <w:spacing w:line="218" w:lineRule="auto"/>
        <w:widowControl/>
        <w:tabs>
          <w:tab w:val="clear" w:pos="708" w:leader="none"/>
          <w:tab w:val="left" w:pos="1276" w:leader="none"/>
        </w:tabs>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преамбулу постановления изложить в следующей редакции:</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0"/>
          <w:numId w:val="0"/>
        </w:numPr>
        <w:ind w:left="0" w:firstLine="0"/>
        <w:jc w:val="both"/>
        <w:spacing w:line="218" w:lineRule="auto"/>
        <w:widowControl/>
        <w:tabs>
          <w:tab w:val="clear" w:pos="708" w:leader="none"/>
          <w:tab w:val="left" w:pos="1276" w:leader="none"/>
        </w:tabs>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ab/>
        <w:t xml:space="preserve">«В целях обеспечения реализации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w:t>
      </w:r>
      <w:r>
        <w:rPr>
          <w:rFonts w:eastAsia="Times New Roman" w:cs="Times New Roman"/>
          <w:color w:val="auto"/>
          <w:sz w:val="28"/>
          <w:szCs w:val="28"/>
          <w:lang w:val="ru-RU" w:eastAsia="ru-RU" w:bidi="ar-SA"/>
        </w:rPr>
        <w:t xml:space="preserve">ы Пензенской области «Социальная поддержка граждан в Пензенской области», руководствуясь Законом Пензенской области от 21.04.2023 № 4006-ЗПО «О Правительстве Пензенской области» (с последующими изменениями), Правительство Пензенской области постановляет:»;</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0"/>
          <w:numId w:val="0"/>
        </w:numPr>
        <w:contextualSpacing/>
        <w:ind w:left="0" w:right="0" w:firstLine="737"/>
        <w:jc w:val="both"/>
        <w:spacing w:before="0" w:after="0" w:line="216" w:lineRule="auto"/>
        <w:widowControl/>
        <w:tabs>
          <w:tab w:val="clear" w:pos="708" w:leader="none"/>
          <w:tab w:val="left" w:pos="1276" w:leader="none"/>
        </w:tabs>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1.3. подпункт 1.1 пункта 1 постановления изложить в следующей редакции:</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ind w:left="0" w:firstLine="709"/>
        <w:jc w:val="both"/>
        <w:spacing w:line="216" w:lineRule="auto"/>
        <w:widowControl/>
      </w:pPr>
      <w:r>
        <w:rPr>
          <w:rFonts w:eastAsia="Times New Roman" w:cs="Times New Roman"/>
          <w:color w:val="auto"/>
          <w:sz w:val="28"/>
          <w:szCs w:val="28"/>
          <w:lang w:val="ru-RU" w:eastAsia="ru-RU" w:bidi="ar-SA"/>
        </w:rPr>
        <w:t xml:space="preserve">«1.1. Порядок</w:t>
      </w:r>
      <w:hyperlink r:id="rId12" w:tooltip="https://login.consultant.ru/link/?req=doc&amp;base=RLAW021&amp;n=185601&amp;dst=101272" w:history="1">
        <w:r>
          <w:rPr>
            <w:rFonts w:eastAsia="Times New Roman" w:cs="Times New Roman"/>
            <w:color w:val="auto"/>
            <w:sz w:val="28"/>
            <w:szCs w:val="28"/>
            <w:lang w:val="ru-RU" w:eastAsia="ru-RU" w:bidi="ar-SA"/>
          </w:rPr>
          <w:t xml:space="preserve"> предоставления семьям социальных выплат на приобретение</w:t>
        </w:r>
      </w:hyperlink>
      <w:r>
        <w:rPr>
          <w:rFonts w:eastAsia="Times New Roman" w:cs="Times New Roman"/>
          <w:color w:val="auto"/>
          <w:sz w:val="28"/>
          <w:szCs w:val="28"/>
          <w:lang w:val="ru-RU" w:eastAsia="ru-RU" w:bidi="ar-SA"/>
        </w:rPr>
        <w:t xml:space="preserve"> или строительство жилья при рождении пе</w:t>
      </w:r>
      <w:r>
        <w:rPr>
          <w:rFonts w:eastAsia="Times New Roman" w:cs="Times New Roman"/>
          <w:color w:val="auto"/>
          <w:sz w:val="28"/>
          <w:szCs w:val="28"/>
          <w:lang w:val="ru-RU" w:eastAsia="ru-RU" w:bidi="ar-SA"/>
        </w:rPr>
        <w:t xml:space="preserve">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r/>
    </w:p>
    <w:p>
      <w:pPr>
        <w:pStyle w:val="852"/>
        <w:numPr>
          <w:ilvl w:val="0"/>
          <w:numId w:val="1"/>
        </w:numPr>
        <w:ind w:left="0" w:firstLine="709"/>
        <w:jc w:val="both"/>
        <w:spacing w:line="216" w:lineRule="auto"/>
        <w:widowControl/>
        <w:tabs>
          <w:tab w:val="clear" w:pos="708" w:leader="none"/>
          <w:tab w:val="left" w:pos="993" w:leader="none"/>
        </w:tabs>
      </w:pPr>
      <w:r>
        <w:rPr>
          <w:rFonts w:eastAsia="Times New Roman" w:cs="Times New Roman"/>
          <w:color w:val="auto"/>
          <w:sz w:val="28"/>
          <w:szCs w:val="28"/>
          <w:lang w:val="ru-RU" w:eastAsia="ru-RU" w:bidi="ar-SA"/>
        </w:rPr>
        <w:t xml:space="preserve">Внести в Порядок</w:t>
      </w:r>
      <w:hyperlink r:id="rId13" w:tooltip="https://login.consultant.ru/link/?req=doc&amp;base=RLAW021&amp;n=185601&amp;dst=101272" w:history="1">
        <w:r>
          <w:rPr>
            <w:rFonts w:eastAsia="Times New Roman" w:cs="Times New Roman"/>
            <w:color w:val="auto"/>
            <w:sz w:val="28"/>
            <w:szCs w:val="28"/>
            <w:lang w:val="ru-RU" w:eastAsia="ru-RU" w:bidi="ar-SA"/>
          </w:rPr>
          <w:t xml:space="preserve"> предоставления семьям социа</w:t>
        </w:r>
        <w:r>
          <w:rPr>
            <w:rFonts w:eastAsia="Times New Roman" w:cs="Times New Roman"/>
            <w:color w:val="auto"/>
            <w:sz w:val="28"/>
            <w:szCs w:val="28"/>
            <w:lang w:val="ru-RU" w:eastAsia="ru-RU" w:bidi="ar-SA"/>
          </w:rPr>
          <w:t xml:space="preserve">льных выплат на приобретение или строительство жилья при рождении первого ребенка в рамках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w:t>
        </w:r>
      </w:hyperlink>
      <w:r>
        <w:rPr>
          <w:rFonts w:eastAsia="Times New Roman" w:cs="Times New Roman"/>
          <w:color w:val="auto"/>
          <w:sz w:val="28"/>
          <w:szCs w:val="28"/>
          <w:lang w:val="ru-RU" w:eastAsia="ru-RU" w:bidi="ar-SA"/>
        </w:rPr>
        <w:t xml:space="preserve"> </w:t>
      </w:r>
      <w:hyperlink r:id="rId14" w:tooltip="https://login.consultant.ru/link/?req=doc&amp;base=RLAW021&amp;n=185601&amp;dst=101272" w:history="1">
        <w:r>
          <w:rPr>
            <w:rFonts w:eastAsia="Times New Roman" w:cs="Times New Roman"/>
            <w:color w:val="auto"/>
            <w:sz w:val="28"/>
            <w:szCs w:val="28"/>
            <w:lang w:val="ru-RU" w:eastAsia="ru-RU" w:bidi="ar-SA"/>
          </w:rPr>
          <w:t xml:space="preserve"> (далее — Порядок 1), утвержденный постановлением, следующие изменения:</w:t>
        </w:r>
      </w:hyperlink>
      <w:r/>
      <w:r/>
    </w:p>
    <w:p>
      <w:pPr>
        <w:pStyle w:val="852"/>
        <w:numPr>
          <w:ilvl w:val="1"/>
          <w:numId w:val="1"/>
        </w:numPr>
        <w:ind w:left="0" w:firstLine="709"/>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наименование Порядка 1 изложить в следующей редакции:</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0"/>
          <w:numId w:val="0"/>
        </w:numPr>
        <w:ind w:left="0" w:firstLine="0"/>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        </w:t>
      </w:r>
      <w:r>
        <w:rPr>
          <w:rFonts w:eastAsia="Times New Roman" w:cs="Times New Roman"/>
          <w:color w:val="auto"/>
          <w:sz w:val="28"/>
          <w:szCs w:val="28"/>
          <w:lang w:val="ru-RU" w:eastAsia="ru-RU" w:bidi="ar-SA"/>
        </w:rPr>
        <w:t xml:space="preserve">«Порядок</w:t>
      </w:r>
      <w:hyperlink r:id="rId15" w:tooltip="https://login.consultant.ru/link/?req=doc&amp;base=RLAW021&amp;n=185601&amp;dst=101272" w:history="1">
        <w:r>
          <w:rPr>
            <w:rFonts w:eastAsia="Times New Roman" w:cs="Times New Roman"/>
            <w:color w:val="auto"/>
            <w:sz w:val="28"/>
            <w:szCs w:val="28"/>
            <w:lang w:val="ru-RU" w:eastAsia="ru-RU" w:bidi="ar-SA"/>
          </w:rPr>
          <w:t xml:space="preserve"> предоставления семьям социальных выплат на приобретение</w:t>
        </w:r>
      </w:hyperlink>
      <w:r>
        <w:rPr>
          <w:rFonts w:eastAsia="Times New Roman" w:cs="Times New Roman"/>
          <w:color w:val="auto"/>
          <w:sz w:val="28"/>
          <w:szCs w:val="28"/>
          <w:lang w:val="ru-RU" w:eastAsia="ru-RU" w:bidi="ar-SA"/>
        </w:rPr>
        <w:t xml:space="preserve"> или строительство жилья при рождении </w:t>
      </w:r>
      <w:r>
        <w:rPr>
          <w:rFonts w:eastAsia="Times New Roman" w:cs="Times New Roman"/>
          <w:color w:val="auto"/>
          <w:sz w:val="28"/>
          <w:szCs w:val="28"/>
          <w:lang w:val="ru-RU" w:eastAsia="ru-RU" w:bidi="ar-SA"/>
        </w:rPr>
        <w:t xml:space="preserve">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hyperlink r:id="rId16" w:tooltip="https://login.consultant.ru/link/?req=doc&amp;base=RLAW021&amp;n=185601&amp;dst=101272" w:history="1">
        <w:r>
          <w:rPr>
            <w:rFonts w:eastAsia="Times New Roman" w:cs="Times New Roman"/>
            <w:color w:val="auto"/>
            <w:sz w:val="28"/>
            <w:szCs w:val="28"/>
            <w:lang w:val="ru-RU" w:eastAsia="ru-RU" w:bidi="ar-SA"/>
          </w:rPr>
          <w:t xml:space="preserve">;</w:t>
        </w:r>
      </w:hyperlink>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0"/>
          <w:numId w:val="0"/>
        </w:numPr>
        <w:ind w:left="0" w:firstLine="0"/>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ab/>
        <w:t xml:space="preserve">2.2. в разделе I «Общие положения» Порядка 1:</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ind w:left="0" w:firstLine="709"/>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2.2.1. пункт 1 изложить в следующей редакции:</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ind w:left="0" w:firstLine="709"/>
        <w:jc w:val="both"/>
        <w:spacing w:line="204" w:lineRule="auto"/>
        <w:widowControl/>
      </w:pPr>
      <w:r>
        <w:rPr>
          <w:rFonts w:eastAsia="Times New Roman" w:cs="Times New Roman"/>
          <w:color w:val="auto"/>
          <w:sz w:val="28"/>
          <w:szCs w:val="28"/>
          <w:lang w:val="ru-RU" w:eastAsia="ru-RU" w:bidi="ar-SA"/>
        </w:rPr>
        <w:t xml:space="preserve">«1. Настоящий Порядок</w:t>
      </w:r>
      <w:hyperlink r:id="rId17" w:tooltip="https://login.consultant.ru/link/?req=doc&amp;base=RLAW021&amp;n=185601&amp;dst=101272" w:history="1">
        <w:r>
          <w:rPr>
            <w:rFonts w:eastAsia="Times New Roman" w:cs="Times New Roman"/>
            <w:color w:val="auto"/>
            <w:sz w:val="28"/>
            <w:szCs w:val="28"/>
            <w:lang w:val="ru-RU" w:eastAsia="ru-RU" w:bidi="ar-SA"/>
          </w:rPr>
          <w:t xml:space="preserve"> предоставления семьям социальных выплат на приобретение</w:t>
        </w:r>
      </w:hyperlink>
      <w:r>
        <w:rPr>
          <w:rFonts w:eastAsia="Times New Roman" w:cs="Times New Roman"/>
          <w:color w:val="auto"/>
          <w:sz w:val="28"/>
          <w:szCs w:val="28"/>
          <w:lang w:val="ru-RU" w:eastAsia="ru-RU" w:bidi="ar-SA"/>
        </w:rPr>
        <w:t xml:space="preserve"> или строительство жилья при рождении первого ребенка </w:t>
      </w:r>
      <w:r>
        <w:rPr>
          <w:rFonts w:eastAsia="Times New Roman" w:cs="Times New Roman"/>
          <w:color w:val="auto"/>
          <w:sz w:val="28"/>
          <w:szCs w:val="28"/>
          <w:lang w:val="ru-RU" w:eastAsia="ru-RU" w:bidi="ar-SA"/>
        </w:rPr>
        <w:t xml:space="preserve">в рамках </w:t>
      </w:r>
      <w:r>
        <w:rPr>
          <w:rFonts w:eastAsia="Times New Roman" w:cs="Times New Roman"/>
          <w:color w:val="auto"/>
          <w:sz w:val="28"/>
          <w:szCs w:val="28"/>
          <w:lang w:val="ru-RU" w:eastAsia="ru-RU" w:bidi="ar-SA"/>
        </w:rPr>
        <w:t xml:space="preserve">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w:t>
      </w:r>
      <w:r>
        <w:rPr>
          <w:rFonts w:eastAsia="Times New Roman" w:cs="Times New Roman"/>
          <w:color w:val="auto"/>
          <w:sz w:val="28"/>
          <w:szCs w:val="28"/>
          <w:lang w:val="ru-RU" w:eastAsia="ru-RU" w:bidi="ar-SA"/>
        </w:rPr>
        <w:t xml:space="preserve">циальная поддержка граждан в Пензенской области» (далее - Порядок) регламентирует условия участия, процедуру подачи заявления, соответствующего перечня документов, необходимых для включения семей в список получателей социальных выплат на приобретение или с</w:t>
      </w:r>
      <w:r>
        <w:rPr>
          <w:rFonts w:eastAsia="Times New Roman" w:cs="Times New Roman"/>
          <w:color w:val="auto"/>
          <w:sz w:val="28"/>
          <w:szCs w:val="28"/>
          <w:lang w:val="ru-RU" w:eastAsia="ru-RU" w:bidi="ar-SA"/>
        </w:rPr>
        <w:t xml:space="preserve">троительство жилья при рождении первого ребенка </w:t>
        <w:br/>
        <w:t xml:space="preserve">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w:t>
      </w:r>
      <w:r>
        <w:rPr>
          <w:rFonts w:eastAsia="Times New Roman" w:cs="Times New Roman"/>
          <w:color w:val="auto"/>
          <w:sz w:val="28"/>
          <w:szCs w:val="28"/>
          <w:lang w:val="ru-RU" w:eastAsia="ru-RU" w:bidi="ar-SA"/>
        </w:rPr>
        <w:t xml:space="preserve">ка граждан в Пензенской области» </w:t>
      </w:r>
      <w:r>
        <w:rPr>
          <w:rFonts w:eastAsia="Times New Roman" w:cs="Times New Roman"/>
          <w:color w:val="auto"/>
          <w:sz w:val="28"/>
          <w:szCs w:val="28"/>
          <w:lang w:val="ru-RU" w:eastAsia="ru-RU" w:bidi="ar-SA"/>
        </w:rPr>
        <w:t xml:space="preserve">(далее - социальная выплата, комплекс процессных мероприятий), предусматривает перечень документов, необходимых для реализации социальных выплат, виды расходов, на которые могут быть направлены социальные выплаты, а также порядок и сроки их перечисления.»;</w:t>
      </w:r>
      <w:r/>
    </w:p>
    <w:p>
      <w:pPr>
        <w:pStyle w:val="852"/>
        <w:numPr>
          <w:ilvl w:val="2"/>
          <w:numId w:val="2"/>
        </w:numPr>
        <w:ind w:left="0" w:firstLine="709"/>
        <w:jc w:val="both"/>
        <w:spacing w:line="204" w:lineRule="auto"/>
        <w:widowControl/>
        <w:rPr>
          <w:rFonts w:ascii="Times New Roman" w:hAnsi="Times New Roman" w:eastAsia="Times New Roman" w:cs="Times New Roman"/>
          <w:color w:val="auto"/>
          <w:sz w:val="28"/>
          <w:szCs w:val="28"/>
          <w:highlight w:val="white"/>
        </w:rPr>
      </w:pPr>
      <w:r>
        <w:rPr>
          <w:rFonts w:eastAsia="Times New Roman" w:cs="Times New Roman"/>
          <w:color w:val="auto"/>
          <w:sz w:val="28"/>
          <w:szCs w:val="28"/>
          <w:highlight w:val="white"/>
          <w:lang w:val="ru-RU" w:eastAsia="ru-RU" w:bidi="ar-SA"/>
        </w:rPr>
        <w:t xml:space="preserve">в пункте 2.5 слова «регионального проекта» </w:t>
      </w:r>
      <w:r>
        <w:rPr>
          <w:rFonts w:eastAsia="Times New Roman" w:cs="Times New Roman"/>
          <w:color w:val="auto"/>
          <w:sz w:val="28"/>
          <w:szCs w:val="28"/>
          <w:highlight w:val="white"/>
          <w:lang w:val="ru-RU" w:eastAsia="ru-RU" w:bidi="ar-SA"/>
        </w:rPr>
        <w:t xml:space="preserve">заменить «в комплексе процессных мероприятий»; </w:t>
      </w:r>
      <w:r>
        <w:rPr>
          <w:rFonts w:ascii="Times New Roman" w:hAnsi="Times New Roman" w:eastAsia="Times New Roman" w:cs="Times New Roman"/>
          <w:color w:val="auto"/>
          <w:sz w:val="28"/>
          <w:szCs w:val="28"/>
          <w:highlight w:val="white"/>
        </w:rPr>
      </w:r>
      <w:r>
        <w:rPr>
          <w:rFonts w:ascii="Times New Roman" w:hAnsi="Times New Roman" w:eastAsia="Times New Roman" w:cs="Times New Roman"/>
          <w:color w:val="auto"/>
          <w:sz w:val="28"/>
          <w:szCs w:val="28"/>
          <w:highlight w:val="white"/>
        </w:rPr>
      </w:r>
    </w:p>
    <w:p>
      <w:pPr>
        <w:pStyle w:val="852"/>
        <w:numPr>
          <w:ilvl w:val="0"/>
          <w:numId w:val="0"/>
        </w:numPr>
        <w:contextualSpacing/>
        <w:ind w:left="0" w:right="0" w:firstLine="680"/>
        <w:jc w:val="both"/>
        <w:spacing w:before="0" w:after="0" w:line="204" w:lineRule="auto"/>
        <w:widowControl/>
      </w:pPr>
      <w:r>
        <w:rPr>
          <w:rFonts w:eastAsia="Times New Roman" w:cs="Times New Roman"/>
          <w:color w:val="auto"/>
          <w:sz w:val="28"/>
          <w:szCs w:val="28"/>
          <w:lang w:val="ru-RU" w:eastAsia="ru-RU" w:bidi="ar-SA"/>
        </w:rPr>
        <w:t xml:space="preserve">2.3. в разделе II «Порядок включения семей в список получателей социальных выплат» Порядка 1:</w:t>
      </w:r>
      <w:r/>
    </w:p>
    <w:p>
      <w:pPr>
        <w:pStyle w:val="852"/>
        <w:numPr>
          <w:ilvl w:val="0"/>
          <w:numId w:val="0"/>
        </w:numPr>
        <w:contextualSpacing/>
        <w:ind w:left="0" w:right="0" w:firstLine="680"/>
        <w:jc w:val="both"/>
        <w:spacing w:before="0" w:after="0" w:line="204" w:lineRule="auto"/>
        <w:widowControl/>
      </w:pPr>
      <w:r>
        <w:rPr>
          <w:rFonts w:eastAsia="Times New Roman" w:cs="Times New Roman"/>
          <w:color w:val="auto"/>
          <w:sz w:val="28"/>
          <w:szCs w:val="28"/>
          <w:lang w:val="ru-RU" w:eastAsia="ru-RU" w:bidi="ar-SA"/>
        </w:rPr>
        <w:t xml:space="preserve">2.3.1. подпункт 14 пункта 10 изложить в следующей редакции:</w:t>
      </w:r>
      <w:r/>
    </w:p>
    <w:p>
      <w:pPr>
        <w:pStyle w:val="852"/>
        <w:numPr>
          <w:ilvl w:val="0"/>
          <w:numId w:val="0"/>
        </w:numPr>
        <w:contextualSpacing/>
        <w:ind w:left="0" w:right="0" w:firstLine="680"/>
        <w:jc w:val="both"/>
        <w:spacing w:before="0" w:after="0" w:line="204" w:lineRule="auto"/>
        <w:widowControl/>
        <w:rPr>
          <w:highlight w:val="white"/>
        </w:rPr>
      </w:pPr>
      <w:r>
        <w:rPr>
          <w:rFonts w:eastAsia="Times New Roman" w:cs="Times New Roman"/>
          <w:color w:val="auto"/>
          <w:sz w:val="28"/>
          <w:szCs w:val="28"/>
          <w:lang w:val="ru-RU" w:eastAsia="ru-RU" w:bidi="ar-SA"/>
        </w:rPr>
        <w:t xml:space="preserve">«14) копию документа, подтверждающего прохождение военной</w:t>
      </w:r>
      <w:r>
        <w:rPr>
          <w:rFonts w:eastAsia="Times New Roman" w:cs="Times New Roman"/>
          <w:color w:val="auto"/>
          <w:sz w:val="28"/>
          <w:szCs w:val="28"/>
          <w:lang w:val="ru-RU" w:eastAsia="ru-RU" w:bidi="ar-SA"/>
        </w:rPr>
        <w:t xml:space="preserve"> службы по мобилизации в Вооруж</w:t>
      </w:r>
      <w:r>
        <w:rPr>
          <w:rFonts w:eastAsia="Times New Roman" w:cs="Times New Roman"/>
          <w:color w:val="auto"/>
          <w:sz w:val="28"/>
          <w:szCs w:val="28"/>
          <w:highlight w:val="white"/>
          <w:lang w:val="ru-RU" w:eastAsia="ru-RU" w:bidi="ar-SA"/>
        </w:rPr>
        <w:t xml:space="preserve">енных Силах Российской Федерации в соответствии с Указом Президента Российской Федерации от 21.09.2022 № 647 «Об объявлении частичной мобилизации в Российской Федерации», либо копию уведомления о заключении контракта о прохож</w:t>
      </w:r>
      <w:r>
        <w:rPr>
          <w:rFonts w:eastAsia="Times New Roman" w:cs="Times New Roman"/>
          <w:color w:val="auto"/>
          <w:sz w:val="28"/>
          <w:szCs w:val="28"/>
          <w:highlight w:val="white"/>
          <w:lang w:val="ru-RU" w:eastAsia="ru-RU" w:bidi="ar-SA"/>
        </w:rPr>
        <w:t xml:space="preserve">дении военной службы по контракту, или военной службы (службы) в войсках национальной гвардии Российской Федерации, или службы в Следственном комитете Российской Федерации, </w:t>
      </w:r>
      <w:r>
        <w:rPr>
          <w:rFonts w:eastAsia="Times New Roman" w:cs="Times New Roman"/>
          <w:color w:val="auto"/>
          <w:sz w:val="28"/>
          <w:szCs w:val="28"/>
          <w:highlight w:val="white"/>
          <w:lang w:val="ru-RU" w:eastAsia="ru-RU" w:bidi="ar-SA"/>
        </w:rPr>
        <w:t xml:space="preserve">либо копию уведомления </w:t>
      </w:r>
      <w:r>
        <w:rPr>
          <w:rFonts w:eastAsia="Times New Roman" w:cs="Times New Roman"/>
          <w:color w:val="auto"/>
          <w:sz w:val="28"/>
          <w:szCs w:val="28"/>
          <w:highlight w:val="white"/>
          <w:lang w:val="ru-RU" w:eastAsia="ru-RU" w:bidi="ar-SA"/>
        </w:rPr>
        <w:t xml:space="preserve">о </w:t>
      </w:r>
      <w:r>
        <w:rPr>
          <w:rFonts w:eastAsia="Times New Roman" w:cs="Times New Roman"/>
          <w:color w:val="auto"/>
          <w:sz w:val="28"/>
          <w:szCs w:val="28"/>
          <w:highlight w:val="white"/>
          <w:lang w:val="ru-RU" w:eastAsia="ru-RU" w:bidi="ar-SA"/>
        </w:rPr>
        <w:t xml:space="preserve">поступлении</w:t>
      </w:r>
      <w:r>
        <w:rPr>
          <w:rFonts w:eastAsia="Times New Roman" w:cs="Times New Roman"/>
          <w:color w:val="auto"/>
          <w:sz w:val="28"/>
          <w:szCs w:val="28"/>
          <w:highlight w:val="white"/>
          <w:lang w:val="ru-RU" w:eastAsia="ru-RU" w:bidi="ar-SA"/>
        </w:rPr>
        <w:t xml:space="preserve"> в добровольческие формирования, </w:t>
      </w:r>
      <w:r>
        <w:rPr>
          <w:rFonts w:eastAsia="Times New Roman" w:cs="Times New Roman"/>
          <w:color w:val="auto"/>
          <w:sz w:val="28"/>
          <w:szCs w:val="28"/>
          <w:highlight w:val="white"/>
          <w:lang w:val="ru-RU" w:eastAsia="ru-RU" w:bidi="ar-SA"/>
        </w:rPr>
        <w:t xml:space="preserve">содействующие выполнению задач, во</w:t>
      </w:r>
      <w:r>
        <w:rPr>
          <w:rFonts w:eastAsia="Times New Roman" w:cs="Times New Roman"/>
          <w:color w:val="auto"/>
          <w:sz w:val="28"/>
          <w:szCs w:val="28"/>
          <w:highlight w:val="white"/>
          <w:lang w:val="ru-RU" w:eastAsia="ru-RU" w:bidi="ar-SA"/>
        </w:rPr>
        <w:t xml:space="preserve">зложенных на Вооруженные Силы Российской Федерации или войска национальной гвардии Российской Федерации, или копию документа, подтверждающего факт прекращения военной службы по мобилизации, либо военной службы по контракту, или военной службы (службы) в во</w:t>
      </w:r>
      <w:r>
        <w:rPr>
          <w:rFonts w:eastAsia="Times New Roman" w:cs="Times New Roman"/>
          <w:color w:val="auto"/>
          <w:sz w:val="28"/>
          <w:szCs w:val="28"/>
          <w:highlight w:val="white"/>
          <w:lang w:val="ru-RU" w:eastAsia="ru-RU" w:bidi="ar-SA"/>
        </w:rPr>
        <w:t xml:space="preserve">йсках национальной гвардии Российской Федерации, </w:t>
      </w:r>
      <w:r>
        <w:rPr>
          <w:rFonts w:eastAsia="Times New Roman" w:cs="Times New Roman"/>
          <w:color w:val="auto"/>
          <w:sz w:val="28"/>
          <w:szCs w:val="28"/>
          <w:highlight w:val="white"/>
          <w:lang w:val="ru-RU" w:eastAsia="ru-RU" w:bidi="ar-SA"/>
        </w:rPr>
        <w:t xml:space="preserve">либо </w:t>
      </w:r>
      <w:r>
        <w:rPr>
          <w:rFonts w:eastAsia="Times New Roman" w:cs="Times New Roman"/>
          <w:color w:val="auto"/>
          <w:sz w:val="28"/>
          <w:szCs w:val="28"/>
          <w:highlight w:val="white"/>
          <w:lang w:val="ru-RU" w:eastAsia="ru-RU" w:bidi="ar-SA"/>
        </w:rPr>
        <w:t xml:space="preserve">либо копию уведомления </w:t>
      </w:r>
      <w:r>
        <w:rPr>
          <w:rFonts w:eastAsia="Times New Roman" w:cs="Times New Roman"/>
          <w:color w:val="auto"/>
          <w:sz w:val="28"/>
          <w:szCs w:val="28"/>
          <w:highlight w:val="white"/>
          <w:lang w:val="ru-RU" w:eastAsia="ru-RU" w:bidi="ar-SA"/>
        </w:rPr>
        <w:t xml:space="preserve">о </w:t>
      </w:r>
      <w:r>
        <w:rPr>
          <w:rFonts w:eastAsia="Times New Roman" w:cs="Times New Roman"/>
          <w:color w:val="auto"/>
          <w:sz w:val="28"/>
          <w:szCs w:val="28"/>
          <w:highlight w:val="white"/>
          <w:lang w:val="ru-RU" w:eastAsia="ru-RU" w:bidi="ar-SA"/>
        </w:rPr>
        <w:t xml:space="preserve">поступлении</w:t>
      </w:r>
      <w:r>
        <w:rPr>
          <w:rFonts w:eastAsia="Times New Roman" w:cs="Times New Roman"/>
          <w:color w:val="auto"/>
          <w:sz w:val="28"/>
          <w:szCs w:val="28"/>
          <w:highlight w:val="white"/>
          <w:lang w:val="ru-RU" w:eastAsia="ru-RU" w:bidi="ar-SA"/>
        </w:rPr>
        <w:t xml:space="preserve"> в </w:t>
      </w:r>
      <w:r>
        <w:rPr>
          <w:rFonts w:eastAsia="Times New Roman" w:cs="Times New Roman"/>
          <w:color w:val="auto"/>
          <w:sz w:val="28"/>
          <w:szCs w:val="28"/>
          <w:highlight w:val="white"/>
          <w:lang w:val="ru-RU" w:eastAsia="ru-RU" w:bidi="ar-SA"/>
        </w:rPr>
        <w:t xml:space="preserve">добровольческие формирования, </w:t>
      </w:r>
      <w:r>
        <w:rPr>
          <w:rFonts w:eastAsia="Times New Roman" w:cs="Times New Roman"/>
          <w:color w:val="auto"/>
          <w:sz w:val="28"/>
          <w:szCs w:val="28"/>
          <w:highlight w:val="white"/>
          <w:lang w:val="ru-RU" w:eastAsia="ru-RU" w:bidi="ar-SA"/>
        </w:rPr>
        <w:t xml:space="preserve">содействующие выполнению задач, возложенных на Вооруженные Силы Российской Федерации или войска национальной гвардии Российской Федерации, или службы в Следст</w:t>
      </w:r>
      <w:r>
        <w:rPr>
          <w:rFonts w:eastAsia="Times New Roman" w:cs="Times New Roman"/>
          <w:color w:val="auto"/>
          <w:sz w:val="28"/>
          <w:szCs w:val="28"/>
          <w:highlight w:val="white"/>
          <w:lang w:val="ru-RU" w:eastAsia="ru-RU" w:bidi="ar-SA"/>
        </w:rPr>
        <w:t xml:space="preserve">венном комитете Российской Федерации (предоставляется в случае, если супруг (супруга) является (являлся) участником специальной военной операции);»;</w:t>
      </w:r>
      <w:r>
        <w:rPr>
          <w:highlight w:val="white"/>
        </w:rPr>
      </w:r>
      <w:r>
        <w:rPr>
          <w:highlight w:val="white"/>
        </w:rPr>
      </w:r>
    </w:p>
    <w:p>
      <w:pPr>
        <w:pStyle w:val="852"/>
        <w:numPr>
          <w:ilvl w:val="0"/>
          <w:numId w:val="0"/>
        </w:numPr>
        <w:ind w:left="0" w:firstLine="0"/>
        <w:jc w:val="both"/>
        <w:spacing w:line="204" w:lineRule="auto"/>
        <w:widowControl/>
        <w:rPr>
          <w:rFonts w:ascii="Times New Roman" w:hAnsi="Times New Roman" w:eastAsia="Times New Roman" w:cs="Times New Roman"/>
          <w:color w:val="auto"/>
          <w:sz w:val="28"/>
          <w:szCs w:val="28"/>
          <w:highlight w:val="white"/>
        </w:rPr>
      </w:pPr>
      <w:r>
        <w:rPr>
          <w:rFonts w:eastAsia="Times New Roman" w:cs="Times New Roman"/>
          <w:color w:val="auto"/>
          <w:sz w:val="28"/>
          <w:szCs w:val="28"/>
          <w:highlight w:val="white"/>
          <w:lang w:val="ru-RU" w:eastAsia="ru-RU" w:bidi="ar-SA"/>
        </w:rPr>
        <w:tab/>
        <w:t xml:space="preserve">2.3.2. </w:t>
      </w:r>
      <w:r>
        <w:rPr>
          <w:rFonts w:eastAsia="Times New Roman" w:cs="Times New Roman"/>
          <w:color w:val="auto"/>
          <w:sz w:val="28"/>
          <w:szCs w:val="28"/>
          <w:highlight w:val="white"/>
          <w:lang w:val="ru-RU" w:eastAsia="ru-RU" w:bidi="ar-SA"/>
        </w:rPr>
        <w:t xml:space="preserve">в пункте 11 слова «подпунктах 12) — 14)» заменить словами «подпунктах 12), 13)»;</w:t>
      </w:r>
      <w:r>
        <w:rPr>
          <w:rFonts w:ascii="Times New Roman" w:hAnsi="Times New Roman" w:eastAsia="Times New Roman" w:cs="Times New Roman"/>
          <w:color w:val="auto"/>
          <w:sz w:val="28"/>
          <w:szCs w:val="28"/>
          <w:highlight w:val="white"/>
        </w:rPr>
      </w:r>
      <w:r>
        <w:rPr>
          <w:rFonts w:ascii="Times New Roman" w:hAnsi="Times New Roman" w:eastAsia="Times New Roman" w:cs="Times New Roman"/>
          <w:color w:val="auto"/>
          <w:sz w:val="28"/>
          <w:szCs w:val="28"/>
          <w:highlight w:val="white"/>
        </w:rPr>
      </w:r>
    </w:p>
    <w:p>
      <w:pPr>
        <w:pStyle w:val="852"/>
        <w:numPr>
          <w:ilvl w:val="0"/>
          <w:numId w:val="0"/>
        </w:numPr>
        <w:ind w:left="0" w:firstLine="0"/>
        <w:jc w:val="both"/>
        <w:spacing w:line="204"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highlight w:val="white"/>
          <w:lang w:val="ru-RU" w:eastAsia="ru-RU" w:bidi="ar-SA"/>
        </w:rPr>
        <w:tab/>
        <w:t xml:space="preserve">2.</w:t>
      </w:r>
      <w:r>
        <w:rPr>
          <w:rFonts w:eastAsia="Times New Roman" w:cs="Times New Roman"/>
          <w:color w:val="auto"/>
          <w:sz w:val="28"/>
          <w:szCs w:val="28"/>
          <w:highlight w:val="white"/>
          <w:lang w:val="ru-RU" w:eastAsia="ru-RU" w:bidi="ar-SA"/>
        </w:rPr>
        <w:t xml:space="preserve">3.3. в пункте 14 слова «подпунктах 6) </w:t>
      </w:r>
      <w:r>
        <w:rPr>
          <w:rFonts w:eastAsia="Times New Roman" w:cs="Times New Roman"/>
          <w:color w:val="auto"/>
          <w:sz w:val="28"/>
          <w:szCs w:val="28"/>
          <w:lang w:val="ru-RU" w:eastAsia="ru-RU" w:bidi="ar-SA"/>
        </w:rPr>
        <w:t xml:space="preserve">— 11)» заменить словами подпунктах 6) -11), 14)»;</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0"/>
          <w:numId w:val="0"/>
        </w:numPr>
        <w:ind w:left="0" w:firstLine="0"/>
        <w:jc w:val="both"/>
        <w:spacing w:line="204"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ab/>
        <w:t xml:space="preserve">2.3.4. </w:t>
      </w:r>
      <w:r>
        <w:rPr>
          <w:rFonts w:eastAsia="Times New Roman" w:cs="Times New Roman"/>
          <w:color w:val="auto"/>
          <w:sz w:val="28"/>
          <w:szCs w:val="28"/>
          <w:lang w:val="ru-RU" w:eastAsia="ru-RU" w:bidi="ar-SA"/>
        </w:rPr>
        <w:t xml:space="preserve">в пункте 18.1 слова «со статьей 5 Закона Пензенской области                         от 04.03.2015 № 2693-ЗПО» заменить словами «со статьей 9 Закона Пензенской области от 31.05.2024 № 4317-ЗПО»;</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0"/>
          <w:numId w:val="0"/>
        </w:numPr>
        <w:ind w:left="0" w:firstLine="0"/>
        <w:jc w:val="both"/>
        <w:spacing w:line="204"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ab/>
        <w:t xml:space="preserve">2.4. в разделе III «Порядок перечисления социальных выплат» Порядка 1:    </w:t>
        <w:tab/>
        <w:t xml:space="preserve">2.4.1. в подпункте «а» пункта 19.1 слова «регионального проекта» </w:t>
      </w:r>
      <w:r>
        <w:rPr>
          <w:rFonts w:eastAsia="Times New Roman" w:cs="Times New Roman"/>
          <w:color w:val="auto"/>
          <w:sz w:val="28"/>
          <w:szCs w:val="28"/>
          <w:lang w:val="ru-RU" w:eastAsia="ru-RU" w:bidi="ar-SA"/>
        </w:rPr>
        <w:t xml:space="preserve">заменить словами «комплекса процессных мероприятий»</w:t>
      </w:r>
      <w:r>
        <w:rPr>
          <w:rFonts w:eastAsia="Times New Roman" w:cs="Times New Roman"/>
          <w:color w:val="auto"/>
          <w:sz w:val="28"/>
          <w:szCs w:val="28"/>
          <w:lang w:val="ru-RU" w:eastAsia="ru-RU" w:bidi="ar-SA"/>
        </w:rPr>
        <w:t xml:space="preserve">;</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52"/>
        <w:numPr>
          <w:ilvl w:val="0"/>
          <w:numId w:val="0"/>
        </w:numPr>
        <w:contextualSpacing/>
        <w:ind w:left="0" w:right="0" w:firstLine="624"/>
        <w:jc w:val="both"/>
        <w:spacing w:before="0" w:after="0" w:line="204"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2.4.2. в пункте 27.3 слова «</w:t>
      </w:r>
      <w:r>
        <w:rPr>
          <w:rFonts w:eastAsia="Times New Roman" w:cs="Times New Roman"/>
          <w:color w:val="auto"/>
          <w:sz w:val="28"/>
          <w:szCs w:val="28"/>
          <w:lang w:val="ru-RU" w:eastAsia="ru-RU" w:bidi="ar-SA"/>
        </w:rPr>
        <w:t xml:space="preserve">Закона Пензенской области от 04.03.2015               № 2693-ЗПО» заменить словами «Закона Пензенской области от 31.05.2024                   № 4317-ЗПО»;</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numPr>
          <w:ilvl w:val="0"/>
          <w:numId w:val="0"/>
        </w:numPr>
        <w:ind w:left="0" w:firstLine="0"/>
        <w:jc w:val="both"/>
        <w:spacing w:line="204" w:lineRule="auto"/>
        <w:widowControl/>
        <w:tabs>
          <w:tab w:val="left" w:pos="675" w:leader="none"/>
          <w:tab w:val="left" w:pos="690" w:leader="none"/>
          <w:tab w:val="clear" w:pos="708" w:leader="none"/>
        </w:tabs>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ab/>
        <w:t xml:space="preserve">2.4.3. в пункте 27.4 слова «Правил предоставления субсидий ак</w:t>
      </w:r>
      <w:r>
        <w:rPr>
          <w:rFonts w:eastAsia="Times New Roman" w:cs="Times New Roman"/>
          <w:color w:val="auto"/>
          <w:sz w:val="28"/>
          <w:szCs w:val="28"/>
          <w:lang w:val="ru-RU" w:eastAsia="ru-RU" w:bidi="ar-SA"/>
        </w:rPr>
        <w:t xml:space="preserve">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исключить.</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ind w:firstLine="709"/>
        <w:jc w:val="both"/>
        <w:spacing w:line="216" w:lineRule="auto"/>
        <w:widowControl/>
      </w:pPr>
      <w:r>
        <w:rPr>
          <w:rFonts w:eastAsia="Times New Roman" w:cs="Times New Roman"/>
          <w:color w:val="auto"/>
          <w:sz w:val="28"/>
          <w:szCs w:val="28"/>
          <w:lang w:val="ru-RU" w:eastAsia="ru-RU" w:bidi="ar-SA"/>
        </w:rPr>
        <w:t xml:space="preserve">3. Внести в Порядок предоставления социальных выплат на улучшение жилищных условий многодетным семьям в рамках комплекса процессных </w:t>
      </w:r>
      <w:r>
        <w:rPr>
          <w:rFonts w:eastAsia="Times New Roman" w:cs="Times New Roman"/>
          <w:color w:val="auto"/>
          <w:spacing w:val="-4"/>
          <w:sz w:val="28"/>
          <w:szCs w:val="28"/>
          <w:lang w:val="ru-RU" w:eastAsia="ru-RU" w:bidi="ar-SA"/>
        </w:rPr>
        <w:t xml:space="preserve">мероприятий «Социальная поддержка отдельных категорий граждан Пензенской</w:t>
      </w:r>
      <w:r>
        <w:rPr>
          <w:rFonts w:eastAsia="Times New Roman" w:cs="Times New Roman"/>
          <w:color w:val="auto"/>
          <w:sz w:val="28"/>
          <w:szCs w:val="28"/>
          <w:lang w:val="ru-RU" w:eastAsia="ru-RU" w:bidi="ar-SA"/>
        </w:rPr>
        <w:t xml:space="preserve"> области при улучшении жилищных условий» государственной программы Пензенской области «Социальная поддержка граждан в Пензенской области» (</w:t>
      </w:r>
      <w:hyperlink r:id="rId18" w:tooltip="https://login.consultant.ru/link/?req=doc&amp;base=RLAW021&amp;n=185601&amp;dst=101272" w:history="1">
        <w:r>
          <w:rPr>
            <w:rFonts w:eastAsia="Times New Roman" w:cs="Times New Roman"/>
            <w:color w:val="auto"/>
            <w:sz w:val="28"/>
            <w:szCs w:val="28"/>
            <w:lang w:val="ru-RU" w:eastAsia="ru-RU" w:bidi="ar-SA"/>
          </w:rPr>
          <w:t xml:space="preserve">далее — Порядок 2), утвержденный постановлением, следующие изменения:</w:t>
        </w:r>
      </w:hyperlink>
      <w:r/>
      <w:r/>
    </w:p>
    <w:p>
      <w:pPr>
        <w:pStyle w:val="829"/>
        <w:ind w:firstLine="709"/>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3.1. в разделе IV «Порядок перечисления социальных выплат» Порядка 2:</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ind w:firstLine="709"/>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3.1.1. в пункте 31.4 слова «</w:t>
      </w:r>
      <w:r>
        <w:rPr>
          <w:rFonts w:eastAsia="Times New Roman" w:cs="Times New Roman"/>
          <w:color w:val="auto"/>
          <w:sz w:val="28"/>
          <w:szCs w:val="28"/>
          <w:lang w:val="ru-RU" w:eastAsia="ru-RU" w:bidi="ar-SA"/>
        </w:rPr>
        <w:t xml:space="preserve">Закона Пензенской области от 04.03.2015                   № 2693-ЗПО» заменить словами «</w:t>
      </w:r>
      <w:r>
        <w:rPr>
          <w:rFonts w:eastAsia="Times New Roman" w:cs="Times New Roman"/>
          <w:color w:val="auto"/>
          <w:sz w:val="28"/>
          <w:szCs w:val="28"/>
          <w:lang w:val="ru-RU" w:eastAsia="ru-RU" w:bidi="ar-SA"/>
        </w:rPr>
        <w:t xml:space="preserve">Закона Пензенской области от 31.05.2024                   № 4317-ЗПО»;</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ind w:firstLine="709"/>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3.1.2. в пункте 31.5 слова «Правил предоставления субсидий ак</w:t>
      </w:r>
      <w:r>
        <w:rPr>
          <w:rFonts w:eastAsia="Times New Roman" w:cs="Times New Roman"/>
          <w:color w:val="auto"/>
          <w:sz w:val="28"/>
          <w:szCs w:val="28"/>
          <w:lang w:val="ru-RU" w:eastAsia="ru-RU" w:bidi="ar-SA"/>
        </w:rPr>
        <w:t xml:space="preserve">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исключить.</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ind w:firstLine="709"/>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4. Настоящее постановление вступает в силу со дня его официального опубликования.</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ind w:firstLine="709"/>
        <w:jc w:val="both"/>
        <w:spacing w:line="216" w:lineRule="auto"/>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5. Настоящее постановление опубликова</w:t>
      </w:r>
      <w:r>
        <w:rPr>
          <w:rFonts w:eastAsia="Times New Roman" w:cs="Times New Roman"/>
          <w:color w:val="auto"/>
          <w:sz w:val="28"/>
          <w:szCs w:val="28"/>
          <w:lang w:val="ru-RU" w:eastAsia="ru-RU" w:bidi="ar-SA"/>
        </w:rPr>
        <w:t xml:space="preserve">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ind w:firstLine="709"/>
        <w:jc w:val="both"/>
        <w:spacing w:line="216" w:lineRule="auto"/>
        <w:widowControl/>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t xml:space="preserve">6. Контроль за исполнением настоящего постановления возложить </w:t>
        <w:br/>
        <w:t xml:space="preserve">на заместителя Председателя Правительства Пензенской области, координирующего вопросы социальной политики.</w:t>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jc w:val="both"/>
        <w:spacing w:line="216" w:lineRule="auto"/>
        <w:rPr>
          <w:rFonts w:ascii="Times New Roman" w:hAnsi="Times New Roman" w:eastAsia="Times New Roman" w:cs="Times New Roman"/>
          <w:color w:val="auto"/>
          <w:sz w:val="28"/>
          <w:szCs w:val="28"/>
          <w:lang w:val="ru-RU" w:eastAsia="ru-RU" w:bidi="ar-SA"/>
        </w:rPr>
      </w:pPr>
      <w:r>
        <w:rPr>
          <w:rFonts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p>
      <w:pPr>
        <w:pStyle w:val="829"/>
        <w:jc w:val="both"/>
        <w:spacing w:line="216" w:lineRule="auto"/>
        <w:rPr>
          <w:rFonts w:ascii="Times New Roman" w:hAnsi="Times New Roman" w:eastAsia="Times New Roman" w:cs="Times New Roman"/>
          <w:color w:val="auto"/>
          <w:sz w:val="28"/>
          <w:szCs w:val="28"/>
          <w:lang w:val="ru-RU" w:eastAsia="ru-RU" w:bidi="ar-SA"/>
        </w:rPr>
      </w:pPr>
      <w:r>
        <w:rPr>
          <w:sz w:val="28"/>
        </w:rPr>
      </w:r>
      <w:r>
        <w:rPr>
          <w:rFonts w:ascii="Times New Roman" w:hAnsi="Times New Roman" w:eastAsia="Times New Roman" w:cs="Times New Roman"/>
          <w:color w:val="auto"/>
          <w:sz w:val="28"/>
          <w:szCs w:val="28"/>
          <w:lang w:val="ru-RU" w:eastAsia="ru-RU" w:bidi="ar-SA"/>
        </w:rPr>
      </w:r>
      <w:r>
        <w:rPr>
          <w:rFonts w:ascii="Times New Roman" w:hAnsi="Times New Roman" w:eastAsia="Times New Roman" w:cs="Times New Roman"/>
          <w:color w:val="auto"/>
          <w:sz w:val="28"/>
          <w:szCs w:val="28"/>
          <w:lang w:val="ru-RU" w:eastAsia="ru-RU" w:bidi="ar-SA"/>
        </w:rPr>
      </w:r>
    </w:p>
    <w:tbl>
      <w:tblPr>
        <w:tblW w:w="9854" w:type="dxa"/>
        <w:tblInd w:w="0" w:type="dxa"/>
        <w:tblLayout w:type="fixed"/>
        <w:tblCellMar>
          <w:left w:w="108" w:type="dxa"/>
          <w:top w:w="0" w:type="dxa"/>
          <w:right w:w="108" w:type="dxa"/>
          <w:bottom w:w="0" w:type="dxa"/>
        </w:tblCellMar>
        <w:tblLook w:val="0000" w:firstRow="0" w:lastRow="0" w:firstColumn="0" w:lastColumn="0" w:noHBand="0" w:noVBand="0"/>
      </w:tblPr>
      <w:tblGrid>
        <w:gridCol w:w="5069"/>
        <w:gridCol w:w="4784"/>
      </w:tblGrid>
      <w:tr>
        <w:tblPrEx/>
        <w:trPr/>
        <w:tc>
          <w:tcPr>
            <w:tcW w:w="5069" w:type="dxa"/>
            <w:textDirection w:val="lrTb"/>
            <w:noWrap w:val="false"/>
          </w:tcPr>
          <w:p>
            <w:pPr>
              <w:pStyle w:val="829"/>
              <w:jc w:val="center"/>
              <w:rPr>
                <w:sz w:val="28"/>
                <w:szCs w:val="28"/>
              </w:rPr>
            </w:pPr>
            <w:r>
              <w:rPr>
                <w:sz w:val="28"/>
                <w:szCs w:val="28"/>
              </w:rPr>
              <w:t xml:space="preserve"> </w:t>
            </w:r>
            <w:r>
              <w:rPr>
                <w:sz w:val="28"/>
                <w:szCs w:val="28"/>
              </w:rPr>
              <w:t xml:space="preserve">Председатель Правительства Пензенской области</w:t>
            </w:r>
            <w:r>
              <w:rPr>
                <w:sz w:val="28"/>
                <w:szCs w:val="28"/>
              </w:rPr>
            </w:r>
            <w:r>
              <w:rPr>
                <w:sz w:val="28"/>
                <w:szCs w:val="28"/>
              </w:rPr>
            </w:r>
          </w:p>
        </w:tc>
        <w:tc>
          <w:tcPr>
            <w:tcW w:w="4784" w:type="dxa"/>
            <w:textDirection w:val="lrTb"/>
            <w:noWrap w:val="false"/>
          </w:tcPr>
          <w:p>
            <w:pPr>
              <w:pStyle w:val="829"/>
              <w:jc w:val="center"/>
              <w:rPr>
                <w:sz w:val="28"/>
                <w:szCs w:val="28"/>
              </w:rPr>
            </w:pPr>
            <w:r>
              <w:rPr>
                <w:sz w:val="28"/>
                <w:szCs w:val="28"/>
              </w:rPr>
            </w:r>
            <w:r>
              <w:rPr>
                <w:sz w:val="28"/>
                <w:szCs w:val="28"/>
              </w:rPr>
            </w:r>
            <w:r>
              <w:rPr>
                <w:sz w:val="28"/>
                <w:szCs w:val="28"/>
              </w:rPr>
            </w:r>
          </w:p>
          <w:p>
            <w:pPr>
              <w:pStyle w:val="829"/>
              <w:rPr>
                <w:sz w:val="28"/>
                <w:szCs w:val="28"/>
              </w:rPr>
            </w:pPr>
            <w:r>
              <w:rPr>
                <w:sz w:val="28"/>
                <w:szCs w:val="28"/>
              </w:rPr>
              <w:t xml:space="preserve">                                        </w:t>
            </w:r>
            <w:r>
              <w:rPr>
                <w:sz w:val="28"/>
                <w:szCs w:val="28"/>
              </w:rPr>
              <w:t xml:space="preserve">Н.П. Симонов</w:t>
            </w:r>
            <w:r>
              <w:rPr>
                <w:sz w:val="28"/>
                <w:szCs w:val="28"/>
              </w:rPr>
            </w:r>
            <w:r>
              <w:rPr>
                <w:sz w:val="28"/>
                <w:szCs w:val="28"/>
              </w:rPr>
            </w:r>
          </w:p>
        </w:tc>
      </w:tr>
    </w:tbl>
    <w:p>
      <w:pPr>
        <w:pStyle w:val="829"/>
        <w:jc w:val="both"/>
        <w:rPr>
          <w:sz w:val="4"/>
          <w:szCs w:val="4"/>
        </w:rPr>
      </w:pPr>
      <w:r>
        <w:rPr>
          <w:sz w:val="4"/>
          <w:szCs w:val="4"/>
        </w:rPr>
      </w:r>
      <w:r>
        <w:rPr>
          <w:sz w:val="4"/>
          <w:szCs w:val="4"/>
        </w:rPr>
      </w:r>
      <w:r>
        <w:rPr>
          <w:sz w:val="4"/>
          <w:szCs w:val="4"/>
        </w:rPr>
      </w:r>
    </w:p>
    <w:sectPr>
      <w:footnotePr/>
      <w:endnotePr/>
      <w:type w:val="nextPage"/>
      <w:pgSz w:w="11906" w:h="16838" w:orient="portrait"/>
      <w:pgMar w:top="1134" w:right="560" w:bottom="1134" w:left="1701"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ohit Devanagari">
    <w:panose1 w:val="020B0600000000000000"/>
  </w:font>
  <w:font w:name="Open Sans">
    <w:panose1 w:val="020B06060305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872" w:hanging="1164"/>
        <w:tabs>
          <w:tab w:val="num" w:pos="0" w:leader="none"/>
        </w:tabs>
      </w:pPr>
      <w:rPr>
        <w:sz w:val="28"/>
        <w:szCs w:val="28"/>
      </w:rPr>
    </w:lvl>
    <w:lvl w:ilvl="1">
      <w:start w:val="1"/>
      <w:numFmt w:val="decimal"/>
      <w:isLgl w:val="false"/>
      <w:suff w:val="tab"/>
      <w:lvlText w:val="%1.%2."/>
      <w:lvlJc w:val="left"/>
      <w:pPr>
        <w:ind w:left="720" w:hanging="720"/>
        <w:tabs>
          <w:tab w:val="num" w:pos="0" w:leader="none"/>
        </w:tabs>
      </w:pPr>
    </w:lvl>
    <w:lvl w:ilvl="2">
      <w:start w:val="1"/>
      <w:numFmt w:val="decimal"/>
      <w:isLgl w:val="false"/>
      <w:suff w:val="tab"/>
      <w:lvlText w:val="%1.%2.%3."/>
      <w:lvlJc w:val="left"/>
      <w:pPr>
        <w:ind w:left="1997" w:hanging="720"/>
        <w:tabs>
          <w:tab w:val="num" w:pos="0" w:leader="none"/>
        </w:tabs>
      </w:pPr>
    </w:lvl>
    <w:lvl w:ilvl="3">
      <w:start w:val="1"/>
      <w:numFmt w:val="decimal"/>
      <w:isLgl w:val="false"/>
      <w:suff w:val="tab"/>
      <w:lvlText w:val="%1.%2.%3.%4."/>
      <w:lvlJc w:val="left"/>
      <w:pPr>
        <w:ind w:left="5280" w:hanging="1080"/>
        <w:tabs>
          <w:tab w:val="num" w:pos="0" w:leader="none"/>
        </w:tabs>
      </w:pPr>
    </w:lvl>
    <w:lvl w:ilvl="4">
      <w:start w:val="1"/>
      <w:numFmt w:val="decimal"/>
      <w:isLgl w:val="false"/>
      <w:suff w:val="tab"/>
      <w:lvlText w:val="%1.%2.%3.%4.%5."/>
      <w:lvlJc w:val="left"/>
      <w:pPr>
        <w:ind w:left="6444" w:hanging="1080"/>
        <w:tabs>
          <w:tab w:val="num" w:pos="0" w:leader="none"/>
        </w:tabs>
      </w:pPr>
    </w:lvl>
    <w:lvl w:ilvl="5">
      <w:start w:val="1"/>
      <w:numFmt w:val="decimal"/>
      <w:isLgl w:val="false"/>
      <w:suff w:val="tab"/>
      <w:lvlText w:val="%1.%2.%3.%4.%5.%6."/>
      <w:lvlJc w:val="left"/>
      <w:pPr>
        <w:ind w:left="7968" w:hanging="1440"/>
        <w:tabs>
          <w:tab w:val="num" w:pos="0" w:leader="none"/>
        </w:tabs>
      </w:pPr>
    </w:lvl>
    <w:lvl w:ilvl="6">
      <w:start w:val="1"/>
      <w:numFmt w:val="decimal"/>
      <w:isLgl w:val="false"/>
      <w:suff w:val="tab"/>
      <w:lvlText w:val="%1.%2.%3.%4.%5.%6.%7."/>
      <w:lvlJc w:val="left"/>
      <w:pPr>
        <w:ind w:left="9492" w:hanging="1800"/>
        <w:tabs>
          <w:tab w:val="num" w:pos="0" w:leader="none"/>
        </w:tabs>
      </w:pPr>
    </w:lvl>
    <w:lvl w:ilvl="7">
      <w:start w:val="1"/>
      <w:numFmt w:val="decimal"/>
      <w:isLgl w:val="false"/>
      <w:suff w:val="tab"/>
      <w:lvlText w:val="%1.%2.%3.%4.%5.%6.%7.%8."/>
      <w:lvlJc w:val="left"/>
      <w:pPr>
        <w:ind w:left="10656" w:hanging="1800"/>
        <w:tabs>
          <w:tab w:val="num" w:pos="0" w:leader="none"/>
        </w:tabs>
      </w:pPr>
    </w:lvl>
    <w:lvl w:ilvl="8">
      <w:start w:val="1"/>
      <w:numFmt w:val="decimal"/>
      <w:isLgl w:val="false"/>
      <w:suff w:val="tab"/>
      <w:lvlText w:val="%1.%2.%3.%4.%5.%6.%7.%8.%9."/>
      <w:lvlJc w:val="left"/>
      <w:pPr>
        <w:ind w:left="12180" w:hanging="2160"/>
        <w:tabs>
          <w:tab w:val="num" w:pos="0" w:leader="none"/>
        </w:tabs>
      </w:pPr>
    </w:lvl>
  </w:abstractNum>
  <w:abstractNum w:abstractNumId="1">
    <w:multiLevelType w:val="hybridMultilevel"/>
    <w:lvl w:ilvl="0">
      <w:start w:val="2"/>
      <w:numFmt w:val="decimal"/>
      <w:isLgl w:val="false"/>
      <w:suff w:val="tab"/>
      <w:lvlText w:val="%1."/>
      <w:lvlJc w:val="left"/>
      <w:pPr>
        <w:ind w:left="1925" w:hanging="648"/>
        <w:tabs>
          <w:tab w:val="num" w:pos="0" w:leader="none"/>
        </w:tabs>
      </w:pPr>
    </w:lvl>
    <w:lvl w:ilvl="1">
      <w:start w:val="2"/>
      <w:numFmt w:val="decimal"/>
      <w:isLgl w:val="false"/>
      <w:suff w:val="tab"/>
      <w:lvlText w:val="%1.%2."/>
      <w:lvlJc w:val="left"/>
      <w:pPr>
        <w:ind w:left="1074" w:hanging="720"/>
        <w:tabs>
          <w:tab w:val="num" w:pos="0" w:leader="none"/>
        </w:tabs>
      </w:pPr>
    </w:lvl>
    <w:lvl w:ilvl="2">
      <w:start w:val="2"/>
      <w:numFmt w:val="decimal"/>
      <w:isLgl w:val="false"/>
      <w:suff w:val="tab"/>
      <w:lvlText w:val="%1.%2.%3."/>
      <w:lvlJc w:val="left"/>
      <w:pPr>
        <w:ind w:left="1428" w:hanging="720"/>
        <w:tabs>
          <w:tab w:val="num" w:pos="0" w:leader="none"/>
        </w:tabs>
      </w:pPr>
    </w:lvl>
    <w:lvl w:ilvl="3">
      <w:start w:val="1"/>
      <w:numFmt w:val="decimal"/>
      <w:isLgl w:val="false"/>
      <w:suff w:val="tab"/>
      <w:lvlText w:val="%1.%2.%3.%4."/>
      <w:lvlJc w:val="left"/>
      <w:pPr>
        <w:ind w:left="2142" w:hanging="1080"/>
        <w:tabs>
          <w:tab w:val="num" w:pos="0" w:leader="none"/>
        </w:tabs>
      </w:pPr>
    </w:lvl>
    <w:lvl w:ilvl="4">
      <w:start w:val="1"/>
      <w:numFmt w:val="decimal"/>
      <w:isLgl w:val="false"/>
      <w:suff w:val="tab"/>
      <w:lvlText w:val="%1.%2.%3.%4.%5."/>
      <w:lvlJc w:val="left"/>
      <w:pPr>
        <w:ind w:left="2496" w:hanging="1080"/>
        <w:tabs>
          <w:tab w:val="num" w:pos="0" w:leader="none"/>
        </w:tabs>
      </w:pPr>
    </w:lvl>
    <w:lvl w:ilvl="5">
      <w:start w:val="1"/>
      <w:numFmt w:val="decimal"/>
      <w:isLgl w:val="false"/>
      <w:suff w:val="tab"/>
      <w:lvlText w:val="%1.%2.%3.%4.%5.%6."/>
      <w:lvlJc w:val="left"/>
      <w:pPr>
        <w:ind w:left="3210" w:hanging="1440"/>
        <w:tabs>
          <w:tab w:val="num" w:pos="0" w:leader="none"/>
        </w:tabs>
      </w:pPr>
    </w:lvl>
    <w:lvl w:ilvl="6">
      <w:start w:val="1"/>
      <w:numFmt w:val="decimal"/>
      <w:isLgl w:val="false"/>
      <w:suff w:val="tab"/>
      <w:lvlText w:val="%1.%2.%3.%4.%5.%6.%7."/>
      <w:lvlJc w:val="left"/>
      <w:pPr>
        <w:ind w:left="3924" w:hanging="1800"/>
        <w:tabs>
          <w:tab w:val="num" w:pos="0" w:leader="none"/>
        </w:tabs>
      </w:pPr>
    </w:lvl>
    <w:lvl w:ilvl="7">
      <w:start w:val="1"/>
      <w:numFmt w:val="decimal"/>
      <w:isLgl w:val="false"/>
      <w:suff w:val="tab"/>
      <w:lvlText w:val="%1.%2.%3.%4.%5.%6.%7.%8."/>
      <w:lvlJc w:val="left"/>
      <w:pPr>
        <w:ind w:left="4278" w:hanging="1800"/>
        <w:tabs>
          <w:tab w:val="num" w:pos="0" w:leader="none"/>
        </w:tabs>
      </w:pPr>
    </w:lvl>
    <w:lvl w:ilvl="8">
      <w:start w:val="1"/>
      <w:numFmt w:val="decimal"/>
      <w:isLgl w:val="false"/>
      <w:suff w:val="tab"/>
      <w:lvlText w:val="%1.%2.%3.%4.%5.%6.%7.%8.%9."/>
      <w:lvlJc w:val="left"/>
      <w:pPr>
        <w:ind w:left="4992" w:hanging="2160"/>
        <w:tabs>
          <w:tab w:val="num" w:pos="0" w:leader="none"/>
        </w:tabs>
      </w:pPr>
    </w:lvl>
  </w:abstractNum>
  <w:abstractNum w:abstractNumId="2">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0">
    <w:name w:val="Heading 1 Char"/>
    <w:basedOn w:val="834"/>
    <w:link w:val="830"/>
    <w:uiPriority w:val="9"/>
    <w:rPr>
      <w:rFonts w:ascii="Arial" w:hAnsi="Arial" w:eastAsia="Arial" w:cs="Arial"/>
      <w:sz w:val="40"/>
      <w:szCs w:val="40"/>
    </w:rPr>
  </w:style>
  <w:style w:type="character" w:styleId="661">
    <w:name w:val="Heading 2 Char"/>
    <w:basedOn w:val="834"/>
    <w:link w:val="831"/>
    <w:uiPriority w:val="9"/>
    <w:rPr>
      <w:rFonts w:ascii="Arial" w:hAnsi="Arial" w:eastAsia="Arial" w:cs="Arial"/>
      <w:sz w:val="34"/>
    </w:rPr>
  </w:style>
  <w:style w:type="character" w:styleId="662">
    <w:name w:val="Heading 3 Char"/>
    <w:basedOn w:val="834"/>
    <w:link w:val="832"/>
    <w:uiPriority w:val="9"/>
    <w:rPr>
      <w:rFonts w:ascii="Arial" w:hAnsi="Arial" w:eastAsia="Arial" w:cs="Arial"/>
      <w:sz w:val="30"/>
      <w:szCs w:val="30"/>
    </w:rPr>
  </w:style>
  <w:style w:type="character" w:styleId="663">
    <w:name w:val="Heading 4 Char"/>
    <w:basedOn w:val="834"/>
    <w:link w:val="833"/>
    <w:uiPriority w:val="9"/>
    <w:rPr>
      <w:rFonts w:ascii="Arial" w:hAnsi="Arial" w:eastAsia="Arial" w:cs="Arial"/>
      <w:b/>
      <w:bCs/>
      <w:sz w:val="26"/>
      <w:szCs w:val="26"/>
    </w:rPr>
  </w:style>
  <w:style w:type="paragraph" w:styleId="664">
    <w:name w:val="Heading 5"/>
    <w:basedOn w:val="829"/>
    <w:next w:val="829"/>
    <w:link w:val="665"/>
    <w:uiPriority w:val="9"/>
    <w:unhideWhenUsed/>
    <w:qFormat/>
    <w:pPr>
      <w:keepLines/>
      <w:keepNext/>
      <w:spacing w:before="320" w:after="200"/>
      <w:outlineLvl w:val="4"/>
    </w:pPr>
    <w:rPr>
      <w:rFonts w:ascii="Arial" w:hAnsi="Arial" w:eastAsia="Arial" w:cs="Arial"/>
      <w:b/>
      <w:bCs/>
      <w:sz w:val="24"/>
      <w:szCs w:val="24"/>
    </w:rPr>
  </w:style>
  <w:style w:type="character" w:styleId="665">
    <w:name w:val="Heading 5 Char"/>
    <w:basedOn w:val="834"/>
    <w:link w:val="664"/>
    <w:uiPriority w:val="9"/>
    <w:rPr>
      <w:rFonts w:ascii="Arial" w:hAnsi="Arial" w:eastAsia="Arial" w:cs="Arial"/>
      <w:b/>
      <w:bCs/>
      <w:sz w:val="24"/>
      <w:szCs w:val="24"/>
    </w:rPr>
  </w:style>
  <w:style w:type="paragraph" w:styleId="666">
    <w:name w:val="Heading 6"/>
    <w:basedOn w:val="829"/>
    <w:next w:val="829"/>
    <w:link w:val="667"/>
    <w:uiPriority w:val="9"/>
    <w:unhideWhenUsed/>
    <w:qFormat/>
    <w:pPr>
      <w:keepLines/>
      <w:keepNext/>
      <w:spacing w:before="320" w:after="200"/>
      <w:outlineLvl w:val="5"/>
    </w:pPr>
    <w:rPr>
      <w:rFonts w:ascii="Arial" w:hAnsi="Arial" w:eastAsia="Arial" w:cs="Arial"/>
      <w:b/>
      <w:bCs/>
      <w:sz w:val="22"/>
      <w:szCs w:val="22"/>
    </w:rPr>
  </w:style>
  <w:style w:type="character" w:styleId="667">
    <w:name w:val="Heading 6 Char"/>
    <w:basedOn w:val="834"/>
    <w:link w:val="666"/>
    <w:uiPriority w:val="9"/>
    <w:rPr>
      <w:rFonts w:ascii="Arial" w:hAnsi="Arial" w:eastAsia="Arial" w:cs="Arial"/>
      <w:b/>
      <w:bCs/>
      <w:sz w:val="22"/>
      <w:szCs w:val="22"/>
    </w:rPr>
  </w:style>
  <w:style w:type="paragraph" w:styleId="668">
    <w:name w:val="Heading 7"/>
    <w:basedOn w:val="829"/>
    <w:next w:val="829"/>
    <w:link w:val="669"/>
    <w:uiPriority w:val="9"/>
    <w:unhideWhenUsed/>
    <w:qFormat/>
    <w:pPr>
      <w:keepLines/>
      <w:keepNext/>
      <w:spacing w:before="320" w:after="200"/>
      <w:outlineLvl w:val="6"/>
    </w:pPr>
    <w:rPr>
      <w:rFonts w:ascii="Arial" w:hAnsi="Arial" w:eastAsia="Arial" w:cs="Arial"/>
      <w:b/>
      <w:bCs/>
      <w:i/>
      <w:iCs/>
      <w:sz w:val="22"/>
      <w:szCs w:val="22"/>
    </w:rPr>
  </w:style>
  <w:style w:type="character" w:styleId="669">
    <w:name w:val="Heading 7 Char"/>
    <w:basedOn w:val="834"/>
    <w:link w:val="668"/>
    <w:uiPriority w:val="9"/>
    <w:rPr>
      <w:rFonts w:ascii="Arial" w:hAnsi="Arial" w:eastAsia="Arial" w:cs="Arial"/>
      <w:b/>
      <w:bCs/>
      <w:i/>
      <w:iCs/>
      <w:sz w:val="22"/>
      <w:szCs w:val="22"/>
    </w:rPr>
  </w:style>
  <w:style w:type="paragraph" w:styleId="670">
    <w:name w:val="Heading 8"/>
    <w:basedOn w:val="829"/>
    <w:next w:val="829"/>
    <w:link w:val="671"/>
    <w:uiPriority w:val="9"/>
    <w:unhideWhenUsed/>
    <w:qFormat/>
    <w:pPr>
      <w:keepLines/>
      <w:keepNext/>
      <w:spacing w:before="320" w:after="200"/>
      <w:outlineLvl w:val="7"/>
    </w:pPr>
    <w:rPr>
      <w:rFonts w:ascii="Arial" w:hAnsi="Arial" w:eastAsia="Arial" w:cs="Arial"/>
      <w:i/>
      <w:iCs/>
      <w:sz w:val="22"/>
      <w:szCs w:val="22"/>
    </w:rPr>
  </w:style>
  <w:style w:type="character" w:styleId="671">
    <w:name w:val="Heading 8 Char"/>
    <w:basedOn w:val="834"/>
    <w:link w:val="670"/>
    <w:uiPriority w:val="9"/>
    <w:rPr>
      <w:rFonts w:ascii="Arial" w:hAnsi="Arial" w:eastAsia="Arial" w:cs="Arial"/>
      <w:i/>
      <w:iCs/>
      <w:sz w:val="22"/>
      <w:szCs w:val="22"/>
    </w:rPr>
  </w:style>
  <w:style w:type="paragraph" w:styleId="672">
    <w:name w:val="Heading 9"/>
    <w:basedOn w:val="829"/>
    <w:next w:val="829"/>
    <w:link w:val="673"/>
    <w:uiPriority w:val="9"/>
    <w:unhideWhenUsed/>
    <w:qFormat/>
    <w:pPr>
      <w:keepLines/>
      <w:keepNext/>
      <w:spacing w:before="320" w:after="200"/>
      <w:outlineLvl w:val="8"/>
    </w:pPr>
    <w:rPr>
      <w:rFonts w:ascii="Arial" w:hAnsi="Arial" w:eastAsia="Arial" w:cs="Arial"/>
      <w:i/>
      <w:iCs/>
      <w:sz w:val="21"/>
      <w:szCs w:val="21"/>
    </w:rPr>
  </w:style>
  <w:style w:type="character" w:styleId="673">
    <w:name w:val="Heading 9 Char"/>
    <w:basedOn w:val="834"/>
    <w:link w:val="672"/>
    <w:uiPriority w:val="9"/>
    <w:rPr>
      <w:rFonts w:ascii="Arial" w:hAnsi="Arial" w:eastAsia="Arial" w:cs="Arial"/>
      <w:i/>
      <w:iCs/>
      <w:sz w:val="21"/>
      <w:szCs w:val="21"/>
    </w:rPr>
  </w:style>
  <w:style w:type="paragraph" w:styleId="674">
    <w:name w:val="No Spacing"/>
    <w:uiPriority w:val="1"/>
    <w:qFormat/>
    <w:pPr>
      <w:spacing w:before="0" w:after="0" w:line="240" w:lineRule="auto"/>
    </w:pPr>
  </w:style>
  <w:style w:type="paragraph" w:styleId="675">
    <w:name w:val="Title"/>
    <w:basedOn w:val="829"/>
    <w:next w:val="829"/>
    <w:link w:val="676"/>
    <w:uiPriority w:val="10"/>
    <w:qFormat/>
    <w:pPr>
      <w:contextualSpacing/>
      <w:spacing w:before="300" w:after="200"/>
    </w:pPr>
    <w:rPr>
      <w:sz w:val="48"/>
      <w:szCs w:val="48"/>
    </w:rPr>
  </w:style>
  <w:style w:type="character" w:styleId="676">
    <w:name w:val="Title Char"/>
    <w:basedOn w:val="834"/>
    <w:link w:val="675"/>
    <w:uiPriority w:val="10"/>
    <w:rPr>
      <w:sz w:val="48"/>
      <w:szCs w:val="48"/>
    </w:rPr>
  </w:style>
  <w:style w:type="paragraph" w:styleId="677">
    <w:name w:val="Subtitle"/>
    <w:basedOn w:val="829"/>
    <w:next w:val="829"/>
    <w:link w:val="678"/>
    <w:uiPriority w:val="11"/>
    <w:qFormat/>
    <w:pPr>
      <w:spacing w:before="200" w:after="200"/>
    </w:pPr>
    <w:rPr>
      <w:sz w:val="24"/>
      <w:szCs w:val="24"/>
    </w:rPr>
  </w:style>
  <w:style w:type="character" w:styleId="678">
    <w:name w:val="Subtitle Char"/>
    <w:basedOn w:val="834"/>
    <w:link w:val="677"/>
    <w:uiPriority w:val="11"/>
    <w:rPr>
      <w:sz w:val="24"/>
      <w:szCs w:val="24"/>
    </w:rPr>
  </w:style>
  <w:style w:type="paragraph" w:styleId="679">
    <w:name w:val="Quote"/>
    <w:basedOn w:val="829"/>
    <w:next w:val="829"/>
    <w:link w:val="680"/>
    <w:uiPriority w:val="29"/>
    <w:qFormat/>
    <w:pPr>
      <w:ind w:left="720" w:right="720"/>
    </w:pPr>
    <w:rPr>
      <w:i/>
    </w:rPr>
  </w:style>
  <w:style w:type="character" w:styleId="680">
    <w:name w:val="Quote Char"/>
    <w:link w:val="679"/>
    <w:uiPriority w:val="29"/>
    <w:rPr>
      <w:i/>
    </w:rPr>
  </w:style>
  <w:style w:type="paragraph" w:styleId="681">
    <w:name w:val="Intense Quote"/>
    <w:basedOn w:val="829"/>
    <w:next w:val="829"/>
    <w:link w:val="68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2">
    <w:name w:val="Intense Quote Char"/>
    <w:link w:val="681"/>
    <w:uiPriority w:val="30"/>
    <w:rPr>
      <w:i/>
    </w:rPr>
  </w:style>
  <w:style w:type="character" w:styleId="683">
    <w:name w:val="Header Char"/>
    <w:basedOn w:val="834"/>
    <w:link w:val="847"/>
    <w:uiPriority w:val="99"/>
  </w:style>
  <w:style w:type="character" w:styleId="684">
    <w:name w:val="Footer Char"/>
    <w:basedOn w:val="834"/>
    <w:link w:val="848"/>
    <w:uiPriority w:val="99"/>
  </w:style>
  <w:style w:type="character" w:styleId="685">
    <w:name w:val="Caption Char"/>
    <w:basedOn w:val="844"/>
    <w:link w:val="848"/>
    <w:uiPriority w:val="99"/>
  </w:style>
  <w:style w:type="table" w:styleId="686">
    <w:name w:val="Table Grid"/>
    <w:basedOn w:val="85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87">
    <w:name w:val="Table Grid Light"/>
    <w:basedOn w:val="8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88">
    <w:name w:val="Plain Table 1"/>
    <w:basedOn w:val="8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9">
    <w:name w:val="Plain Table 2"/>
    <w:basedOn w:val="85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0">
    <w:name w:val="Plain Table 3"/>
    <w:basedOn w:val="85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1">
    <w:name w:val="Plain Table 4"/>
    <w:basedOn w:val="85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2">
    <w:name w:val="Plain Table 5"/>
    <w:basedOn w:val="85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3">
    <w:name w:val="Grid Table 1 Light"/>
    <w:basedOn w:val="85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4">
    <w:name w:val="Grid Table 1 Light - Accent 1"/>
    <w:basedOn w:val="8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5">
    <w:name w:val="Grid Table 1 Light - Accent 2"/>
    <w:basedOn w:val="8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6">
    <w:name w:val="Grid Table 1 Light - Accent 3"/>
    <w:basedOn w:val="8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97">
    <w:name w:val="Grid Table 1 Light - Accent 4"/>
    <w:basedOn w:val="8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98">
    <w:name w:val="Grid Table 1 Light - Accent 5"/>
    <w:basedOn w:val="8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99">
    <w:name w:val="Grid Table 1 Light - Accent 6"/>
    <w:basedOn w:val="8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0">
    <w:name w:val="Grid Table 2"/>
    <w:basedOn w:val="8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1">
    <w:name w:val="Grid Table 2 - Accent 1"/>
    <w:basedOn w:val="8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2">
    <w:name w:val="Grid Table 2 - Accent 2"/>
    <w:basedOn w:val="8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3">
    <w:name w:val="Grid Table 2 - Accent 3"/>
    <w:basedOn w:val="8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4">
    <w:name w:val="Grid Table 2 - Accent 4"/>
    <w:basedOn w:val="8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5">
    <w:name w:val="Grid Table 2 - Accent 5"/>
    <w:basedOn w:val="8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6">
    <w:name w:val="Grid Table 2 - Accent 6"/>
    <w:basedOn w:val="8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7">
    <w:name w:val="Grid Table 3"/>
    <w:basedOn w:val="8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8">
    <w:name w:val="Grid Table 3 - Accent 1"/>
    <w:basedOn w:val="8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9">
    <w:name w:val="Grid Table 3 - Accent 2"/>
    <w:basedOn w:val="8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0">
    <w:name w:val="Grid Table 3 - Accent 3"/>
    <w:basedOn w:val="8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4"/>
    <w:basedOn w:val="8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5"/>
    <w:basedOn w:val="8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6"/>
    <w:basedOn w:val="8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4"/>
    <w:basedOn w:val="85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5">
    <w:name w:val="Grid Table 4 - Accent 1"/>
    <w:basedOn w:val="85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6">
    <w:name w:val="Grid Table 4 - Accent 2"/>
    <w:basedOn w:val="85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17">
    <w:name w:val="Grid Table 4 - Accent 3"/>
    <w:basedOn w:val="85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18">
    <w:name w:val="Grid Table 4 - Accent 4"/>
    <w:basedOn w:val="85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19">
    <w:name w:val="Grid Table 4 - Accent 5"/>
    <w:basedOn w:val="85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0">
    <w:name w:val="Grid Table 4 - Accent 6"/>
    <w:basedOn w:val="85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1">
    <w:name w:val="Grid Table 5 Dark"/>
    <w:basedOn w:val="8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2">
    <w:name w:val="Grid Table 5 Dark- Accent 1"/>
    <w:basedOn w:val="8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23">
    <w:name w:val="Grid Table 5 Dark - Accent 2"/>
    <w:basedOn w:val="8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24">
    <w:name w:val="Grid Table 5 Dark - Accent 3"/>
    <w:basedOn w:val="8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25">
    <w:name w:val="Grid Table 5 Dark- Accent 4"/>
    <w:basedOn w:val="8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26">
    <w:name w:val="Grid Table 5 Dark - Accent 5"/>
    <w:basedOn w:val="8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27">
    <w:name w:val="Grid Table 5 Dark - Accent 6"/>
    <w:basedOn w:val="8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28">
    <w:name w:val="Grid Table 6 Colorful"/>
    <w:basedOn w:val="85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9">
    <w:name w:val="Grid Table 6 Colorful - Accent 1"/>
    <w:basedOn w:val="85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30">
    <w:name w:val="Grid Table 6 Colorful - Accent 2"/>
    <w:basedOn w:val="8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31">
    <w:name w:val="Grid Table 6 Colorful - Accent 3"/>
    <w:basedOn w:val="85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32">
    <w:name w:val="Grid Table 6 Colorful - Accent 4"/>
    <w:basedOn w:val="8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33">
    <w:name w:val="Grid Table 6 Colorful - Accent 5"/>
    <w:basedOn w:val="85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4">
    <w:name w:val="Grid Table 6 Colorful - Accent 6"/>
    <w:basedOn w:val="85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35">
    <w:name w:val="Grid Table 7 Colorful"/>
    <w:basedOn w:val="85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6">
    <w:name w:val="Grid Table 7 Colorful - Accent 1"/>
    <w:basedOn w:val="85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37">
    <w:name w:val="Grid Table 7 Colorful - Accent 2"/>
    <w:basedOn w:val="85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38">
    <w:name w:val="Grid Table 7 Colorful - Accent 3"/>
    <w:basedOn w:val="85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39">
    <w:name w:val="Grid Table 7 Colorful - Accent 4"/>
    <w:basedOn w:val="85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0">
    <w:name w:val="Grid Table 7 Colorful - Accent 5"/>
    <w:basedOn w:val="85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1">
    <w:name w:val="Grid Table 7 Colorful - Accent 6"/>
    <w:basedOn w:val="85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2">
    <w:name w:val="List Table 1 Light"/>
    <w:basedOn w:val="85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3">
    <w:name w:val="List Table 1 Light - Accent 1"/>
    <w:basedOn w:val="85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4">
    <w:name w:val="List Table 1 Light - Accent 2"/>
    <w:basedOn w:val="85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5">
    <w:name w:val="List Table 1 Light - Accent 3"/>
    <w:basedOn w:val="85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6">
    <w:name w:val="List Table 1 Light - Accent 4"/>
    <w:basedOn w:val="85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47">
    <w:name w:val="List Table 1 Light - Accent 5"/>
    <w:basedOn w:val="85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48">
    <w:name w:val="List Table 1 Light - Accent 6"/>
    <w:basedOn w:val="85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49">
    <w:name w:val="List Table 2"/>
    <w:basedOn w:val="85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0">
    <w:name w:val="List Table 2 - Accent 1"/>
    <w:basedOn w:val="85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1">
    <w:name w:val="List Table 2 - Accent 2"/>
    <w:basedOn w:val="85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2">
    <w:name w:val="List Table 2 - Accent 3"/>
    <w:basedOn w:val="85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3">
    <w:name w:val="List Table 2 - Accent 4"/>
    <w:basedOn w:val="85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4">
    <w:name w:val="List Table 2 - Accent 5"/>
    <w:basedOn w:val="85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5">
    <w:name w:val="List Table 2 - Accent 6"/>
    <w:basedOn w:val="85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6">
    <w:name w:val="List Table 3"/>
    <w:basedOn w:val="8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7">
    <w:name w:val="List Table 3 - Accent 1"/>
    <w:basedOn w:val="85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58">
    <w:name w:val="List Table 3 - Accent 2"/>
    <w:basedOn w:val="8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59">
    <w:name w:val="List Table 3 - Accent 3"/>
    <w:basedOn w:val="85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60">
    <w:name w:val="List Table 3 - Accent 4"/>
    <w:basedOn w:val="8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61">
    <w:name w:val="List Table 3 - Accent 5"/>
    <w:basedOn w:val="85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62">
    <w:name w:val="List Table 3 - Accent 6"/>
    <w:basedOn w:val="85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63">
    <w:name w:val="List Table 4"/>
    <w:basedOn w:val="8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4">
    <w:name w:val="List Table 4 - Accent 1"/>
    <w:basedOn w:val="85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65">
    <w:name w:val="List Table 4 - Accent 2"/>
    <w:basedOn w:val="85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66">
    <w:name w:val="List Table 4 - Accent 3"/>
    <w:basedOn w:val="85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67">
    <w:name w:val="List Table 4 - Accent 4"/>
    <w:basedOn w:val="85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68">
    <w:name w:val="List Table 4 - Accent 5"/>
    <w:basedOn w:val="85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69">
    <w:name w:val="List Table 4 - Accent 6"/>
    <w:basedOn w:val="85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70">
    <w:name w:val="List Table 5 Dark"/>
    <w:basedOn w:val="85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1">
    <w:name w:val="List Table 5 Dark - Accent 1"/>
    <w:basedOn w:val="85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2">
    <w:name w:val="List Table 5 Dark - Accent 2"/>
    <w:basedOn w:val="85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3"/>
    <w:basedOn w:val="85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4"/>
    <w:basedOn w:val="85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5"/>
    <w:basedOn w:val="85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6"/>
    <w:basedOn w:val="85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6 Colorful"/>
    <w:basedOn w:val="85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78">
    <w:name w:val="List Table 6 Colorful - Accent 1"/>
    <w:basedOn w:val="85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79">
    <w:name w:val="List Table 6 Colorful - Accent 2"/>
    <w:basedOn w:val="85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80">
    <w:name w:val="List Table 6 Colorful - Accent 3"/>
    <w:basedOn w:val="85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81">
    <w:name w:val="List Table 6 Colorful - Accent 4"/>
    <w:basedOn w:val="85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82">
    <w:name w:val="List Table 6 Colorful - Accent 5"/>
    <w:basedOn w:val="85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783">
    <w:name w:val="List Table 6 Colorful - Accent 6"/>
    <w:basedOn w:val="85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784">
    <w:name w:val="List Table 7 Colorful"/>
    <w:basedOn w:val="85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5">
    <w:name w:val="List Table 7 Colorful - Accent 1"/>
    <w:basedOn w:val="85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786">
    <w:name w:val="List Table 7 Colorful - Accent 2"/>
    <w:basedOn w:val="85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787">
    <w:name w:val="List Table 7 Colorful - Accent 3"/>
    <w:basedOn w:val="85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788">
    <w:name w:val="List Table 7 Colorful - Accent 4"/>
    <w:basedOn w:val="85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789">
    <w:name w:val="List Table 7 Colorful - Accent 5"/>
    <w:basedOn w:val="85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790">
    <w:name w:val="List Table 7 Colorful - Accent 6"/>
    <w:basedOn w:val="85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791">
    <w:name w:val="Lined - Accent"/>
    <w:basedOn w:val="8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2">
    <w:name w:val="Lined - Accent 1"/>
    <w:basedOn w:val="8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793">
    <w:name w:val="Lined - Accent 2"/>
    <w:basedOn w:val="8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794">
    <w:name w:val="Lined - Accent 3"/>
    <w:basedOn w:val="8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795">
    <w:name w:val="Lined - Accent 4"/>
    <w:basedOn w:val="8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796">
    <w:name w:val="Lined - Accent 5"/>
    <w:basedOn w:val="8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797">
    <w:name w:val="Lined - Accent 6"/>
    <w:basedOn w:val="8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798">
    <w:name w:val="Bordered &amp; Lined - Accent"/>
    <w:basedOn w:val="85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9">
    <w:name w:val="Bordered &amp; Lined - Accent 1"/>
    <w:basedOn w:val="85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00">
    <w:name w:val="Bordered &amp; Lined - Accent 2"/>
    <w:basedOn w:val="85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01">
    <w:name w:val="Bordered &amp; Lined - Accent 3"/>
    <w:basedOn w:val="85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02">
    <w:name w:val="Bordered &amp; Lined - Accent 4"/>
    <w:basedOn w:val="85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03">
    <w:name w:val="Bordered &amp; Lined - Accent 5"/>
    <w:basedOn w:val="85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04">
    <w:name w:val="Bordered &amp; Lined - Accent 6"/>
    <w:basedOn w:val="85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05">
    <w:name w:val="Bordered"/>
    <w:basedOn w:val="85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6">
    <w:name w:val="Bordered - Accent 1"/>
    <w:basedOn w:val="8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07">
    <w:name w:val="Bordered - Accent 2"/>
    <w:basedOn w:val="8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08">
    <w:name w:val="Bordered - Accent 3"/>
    <w:basedOn w:val="8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09">
    <w:name w:val="Bordered - Accent 4"/>
    <w:basedOn w:val="8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0">
    <w:name w:val="Bordered - Accent 5"/>
    <w:basedOn w:val="8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1">
    <w:name w:val="Bordered - Accent 6"/>
    <w:basedOn w:val="8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12">
    <w:name w:val="footnote text"/>
    <w:basedOn w:val="829"/>
    <w:link w:val="813"/>
    <w:uiPriority w:val="99"/>
    <w:semiHidden/>
    <w:unhideWhenUsed/>
    <w:pPr>
      <w:spacing w:after="40" w:line="240" w:lineRule="auto"/>
    </w:pPr>
    <w:rPr>
      <w:sz w:val="18"/>
    </w:rPr>
  </w:style>
  <w:style w:type="character" w:styleId="813">
    <w:name w:val="Footnote Text Char"/>
    <w:link w:val="812"/>
    <w:uiPriority w:val="99"/>
    <w:rPr>
      <w:sz w:val="18"/>
    </w:rPr>
  </w:style>
  <w:style w:type="character" w:styleId="814">
    <w:name w:val="footnote reference"/>
    <w:basedOn w:val="834"/>
    <w:uiPriority w:val="99"/>
    <w:unhideWhenUsed/>
    <w:rPr>
      <w:vertAlign w:val="superscript"/>
    </w:rPr>
  </w:style>
  <w:style w:type="paragraph" w:styleId="815">
    <w:name w:val="endnote text"/>
    <w:basedOn w:val="829"/>
    <w:link w:val="816"/>
    <w:uiPriority w:val="99"/>
    <w:semiHidden/>
    <w:unhideWhenUsed/>
    <w:pPr>
      <w:spacing w:after="0" w:line="240" w:lineRule="auto"/>
    </w:pPr>
    <w:rPr>
      <w:sz w:val="20"/>
    </w:rPr>
  </w:style>
  <w:style w:type="character" w:styleId="816">
    <w:name w:val="Endnote Text Char"/>
    <w:link w:val="815"/>
    <w:uiPriority w:val="99"/>
    <w:rPr>
      <w:sz w:val="20"/>
    </w:rPr>
  </w:style>
  <w:style w:type="character" w:styleId="817">
    <w:name w:val="endnote reference"/>
    <w:basedOn w:val="834"/>
    <w:uiPriority w:val="99"/>
    <w:semiHidden/>
    <w:unhideWhenUsed/>
    <w:rPr>
      <w:vertAlign w:val="superscript"/>
    </w:rPr>
  </w:style>
  <w:style w:type="paragraph" w:styleId="818">
    <w:name w:val="toc 1"/>
    <w:basedOn w:val="829"/>
    <w:next w:val="829"/>
    <w:uiPriority w:val="39"/>
    <w:unhideWhenUsed/>
    <w:pPr>
      <w:ind w:left="0" w:right="0" w:firstLine="0"/>
      <w:spacing w:after="57"/>
    </w:pPr>
  </w:style>
  <w:style w:type="paragraph" w:styleId="819">
    <w:name w:val="toc 2"/>
    <w:basedOn w:val="829"/>
    <w:next w:val="829"/>
    <w:uiPriority w:val="39"/>
    <w:unhideWhenUsed/>
    <w:pPr>
      <w:ind w:left="283" w:right="0" w:firstLine="0"/>
      <w:spacing w:after="57"/>
    </w:pPr>
  </w:style>
  <w:style w:type="paragraph" w:styleId="820">
    <w:name w:val="toc 3"/>
    <w:basedOn w:val="829"/>
    <w:next w:val="829"/>
    <w:uiPriority w:val="39"/>
    <w:unhideWhenUsed/>
    <w:pPr>
      <w:ind w:left="567" w:right="0" w:firstLine="0"/>
      <w:spacing w:after="57"/>
    </w:pPr>
  </w:style>
  <w:style w:type="paragraph" w:styleId="821">
    <w:name w:val="toc 4"/>
    <w:basedOn w:val="829"/>
    <w:next w:val="829"/>
    <w:uiPriority w:val="39"/>
    <w:unhideWhenUsed/>
    <w:pPr>
      <w:ind w:left="850" w:right="0" w:firstLine="0"/>
      <w:spacing w:after="57"/>
    </w:pPr>
  </w:style>
  <w:style w:type="paragraph" w:styleId="822">
    <w:name w:val="toc 5"/>
    <w:basedOn w:val="829"/>
    <w:next w:val="829"/>
    <w:uiPriority w:val="39"/>
    <w:unhideWhenUsed/>
    <w:pPr>
      <w:ind w:left="1134" w:right="0" w:firstLine="0"/>
      <w:spacing w:after="57"/>
    </w:pPr>
  </w:style>
  <w:style w:type="paragraph" w:styleId="823">
    <w:name w:val="toc 6"/>
    <w:basedOn w:val="829"/>
    <w:next w:val="829"/>
    <w:uiPriority w:val="39"/>
    <w:unhideWhenUsed/>
    <w:pPr>
      <w:ind w:left="1417" w:right="0" w:firstLine="0"/>
      <w:spacing w:after="57"/>
    </w:pPr>
  </w:style>
  <w:style w:type="paragraph" w:styleId="824">
    <w:name w:val="toc 7"/>
    <w:basedOn w:val="829"/>
    <w:next w:val="829"/>
    <w:uiPriority w:val="39"/>
    <w:unhideWhenUsed/>
    <w:pPr>
      <w:ind w:left="1701" w:right="0" w:firstLine="0"/>
      <w:spacing w:after="57"/>
    </w:pPr>
  </w:style>
  <w:style w:type="paragraph" w:styleId="825">
    <w:name w:val="toc 8"/>
    <w:basedOn w:val="829"/>
    <w:next w:val="829"/>
    <w:uiPriority w:val="39"/>
    <w:unhideWhenUsed/>
    <w:pPr>
      <w:ind w:left="1984" w:right="0" w:firstLine="0"/>
      <w:spacing w:after="57"/>
    </w:pPr>
  </w:style>
  <w:style w:type="paragraph" w:styleId="826">
    <w:name w:val="toc 9"/>
    <w:basedOn w:val="829"/>
    <w:next w:val="829"/>
    <w:uiPriority w:val="39"/>
    <w:unhideWhenUsed/>
    <w:pPr>
      <w:ind w:left="2268" w:right="0" w:firstLine="0"/>
      <w:spacing w:after="57"/>
    </w:pPr>
  </w:style>
  <w:style w:type="paragraph" w:styleId="827">
    <w:name w:val="TOC Heading"/>
    <w:uiPriority w:val="39"/>
    <w:unhideWhenUsed/>
  </w:style>
  <w:style w:type="paragraph" w:styleId="828">
    <w:name w:val="table of figures"/>
    <w:basedOn w:val="829"/>
    <w:next w:val="829"/>
    <w:uiPriority w:val="99"/>
    <w:unhideWhenUsed/>
    <w:pPr>
      <w:spacing w:after="0" w:afterAutospacing="0"/>
    </w:pPr>
  </w:style>
  <w:style w:type="paragraph" w:styleId="829" w:default="1">
    <w:name w:val="Normal"/>
    <w:qFormat/>
    <w:pPr>
      <w:jc w:val="left"/>
      <w:spacing w:before="0" w:after="0"/>
      <w:widowControl w:val="off"/>
    </w:pPr>
    <w:rPr>
      <w:rFonts w:ascii="Times New Roman" w:hAnsi="Times New Roman" w:eastAsia="Times New Roman" w:cs="Times New Roman"/>
      <w:color w:val="auto"/>
      <w:sz w:val="20"/>
      <w:szCs w:val="20"/>
      <w:lang w:val="ru-RU" w:eastAsia="ru-RU" w:bidi="ar-SA"/>
    </w:rPr>
  </w:style>
  <w:style w:type="paragraph" w:styleId="830">
    <w:name w:val="Heading 1"/>
    <w:basedOn w:val="829"/>
    <w:next w:val="829"/>
    <w:qFormat/>
    <w:pPr>
      <w:jc w:val="both"/>
      <w:keepNext/>
      <w:widowControl/>
      <w:outlineLvl w:val="0"/>
    </w:pPr>
    <w:rPr>
      <w:sz w:val="24"/>
    </w:rPr>
  </w:style>
  <w:style w:type="paragraph" w:styleId="831">
    <w:name w:val="Heading 2"/>
    <w:basedOn w:val="829"/>
    <w:next w:val="829"/>
    <w:link w:val="835"/>
    <w:qFormat/>
    <w:pPr>
      <w:keepNext/>
      <w:widowControl/>
      <w:outlineLvl w:val="1"/>
    </w:pPr>
    <w:rPr>
      <w:sz w:val="24"/>
    </w:rPr>
  </w:style>
  <w:style w:type="paragraph" w:styleId="832">
    <w:name w:val="Heading 3"/>
    <w:basedOn w:val="829"/>
    <w:next w:val="829"/>
    <w:qFormat/>
    <w:pPr>
      <w:jc w:val="center"/>
      <w:keepNext/>
      <w:widowControl/>
      <w:outlineLvl w:val="2"/>
    </w:pPr>
    <w:rPr>
      <w:b/>
      <w:sz w:val="40"/>
    </w:rPr>
  </w:style>
  <w:style w:type="paragraph" w:styleId="833">
    <w:name w:val="Heading 4"/>
    <w:basedOn w:val="829"/>
    <w:next w:val="829"/>
    <w:link w:val="837"/>
    <w:qFormat/>
    <w:pPr>
      <w:jc w:val="center"/>
      <w:keepNext/>
      <w:outlineLvl w:val="3"/>
    </w:pPr>
    <w:rPr>
      <w:sz w:val="28"/>
    </w:rPr>
  </w:style>
  <w:style w:type="character" w:styleId="834" w:default="1">
    <w:name w:val="Default Paragraph Font"/>
    <w:uiPriority w:val="1"/>
    <w:semiHidden/>
    <w:unhideWhenUsed/>
    <w:qFormat/>
  </w:style>
  <w:style w:type="character" w:styleId="835" w:customStyle="1">
    <w:name w:val="Заголовок 2 Знак"/>
    <w:qFormat/>
    <w:rPr>
      <w:sz w:val="24"/>
    </w:rPr>
  </w:style>
  <w:style w:type="character" w:styleId="836" w:customStyle="1">
    <w:name w:val="Текст выноски Знак"/>
    <w:link w:val="850"/>
    <w:qFormat/>
    <w:rPr>
      <w:rFonts w:ascii="Tahoma" w:hAnsi="Tahoma" w:cs="Tahoma"/>
      <w:sz w:val="16"/>
      <w:szCs w:val="16"/>
    </w:rPr>
  </w:style>
  <w:style w:type="character" w:styleId="837" w:customStyle="1">
    <w:name w:val="Заголовок 4 Знак"/>
    <w:qFormat/>
    <w:rPr>
      <w:sz w:val="28"/>
    </w:rPr>
  </w:style>
  <w:style w:type="character" w:styleId="838" w:customStyle="1">
    <w:name w:val="Верхний колонтитул Знак"/>
    <w:uiPriority w:val="99"/>
    <w:qFormat/>
  </w:style>
  <w:style w:type="character" w:styleId="839">
    <w:name w:val="Hyperlink"/>
    <w:rPr>
      <w:color w:val="000080"/>
      <w:u w:val="single"/>
    </w:rPr>
  </w:style>
  <w:style w:type="character" w:styleId="840">
    <w:name w:val="Символ концевой сноски"/>
    <w:qFormat/>
  </w:style>
  <w:style w:type="paragraph" w:styleId="841">
    <w:name w:val="Заголовок"/>
    <w:basedOn w:val="829"/>
    <w:next w:val="842"/>
    <w:qFormat/>
    <w:pPr>
      <w:keepNext/>
      <w:spacing w:before="240" w:after="120"/>
    </w:pPr>
    <w:rPr>
      <w:rFonts w:ascii="Open Sans" w:hAnsi="Open Sans" w:eastAsia="Tahoma" w:cs="Lohit Devanagari"/>
      <w:sz w:val="28"/>
      <w:szCs w:val="28"/>
    </w:rPr>
  </w:style>
  <w:style w:type="paragraph" w:styleId="842">
    <w:name w:val="Body Text"/>
    <w:basedOn w:val="829"/>
    <w:pPr>
      <w:spacing w:before="0" w:after="140" w:line="276" w:lineRule="auto"/>
    </w:pPr>
  </w:style>
  <w:style w:type="paragraph" w:styleId="843">
    <w:name w:val="List"/>
    <w:basedOn w:val="842"/>
    <w:rPr>
      <w:rFonts w:cs="Lohit Devanagari"/>
    </w:rPr>
  </w:style>
  <w:style w:type="paragraph" w:styleId="844">
    <w:name w:val="Caption"/>
    <w:basedOn w:val="829"/>
    <w:qFormat/>
    <w:pPr>
      <w:spacing w:before="120" w:after="120"/>
      <w:suppressLineNumbers/>
    </w:pPr>
    <w:rPr>
      <w:rFonts w:cs="Lohit Devanagari"/>
      <w:i/>
      <w:iCs/>
      <w:sz w:val="24"/>
      <w:szCs w:val="24"/>
    </w:rPr>
  </w:style>
  <w:style w:type="paragraph" w:styleId="845">
    <w:name w:val="Указатель"/>
    <w:basedOn w:val="829"/>
    <w:qFormat/>
    <w:pPr>
      <w:suppressLineNumbers/>
    </w:pPr>
    <w:rPr>
      <w:rFonts w:cs="Lohit Devanagari"/>
    </w:rPr>
  </w:style>
  <w:style w:type="paragraph" w:styleId="846">
    <w:name w:val="Колонтитул"/>
    <w:basedOn w:val="829"/>
    <w:qFormat/>
  </w:style>
  <w:style w:type="paragraph" w:styleId="847">
    <w:name w:val="Header"/>
    <w:basedOn w:val="829"/>
    <w:link w:val="838"/>
    <w:uiPriority w:val="99"/>
    <w:pPr>
      <w:tabs>
        <w:tab w:val="clear" w:pos="708" w:leader="none"/>
        <w:tab w:val="center" w:pos="4153" w:leader="none"/>
        <w:tab w:val="right" w:pos="8306" w:leader="none"/>
      </w:tabs>
    </w:pPr>
  </w:style>
  <w:style w:type="paragraph" w:styleId="848">
    <w:name w:val="Footer"/>
    <w:basedOn w:val="829"/>
    <w:pPr>
      <w:tabs>
        <w:tab w:val="clear" w:pos="708" w:leader="none"/>
        <w:tab w:val="center" w:pos="4153" w:leader="none"/>
        <w:tab w:val="right" w:pos="8306" w:leader="none"/>
      </w:tabs>
    </w:pPr>
  </w:style>
  <w:style w:type="paragraph" w:styleId="849">
    <w:name w:val="caption1"/>
    <w:basedOn w:val="829"/>
    <w:next w:val="829"/>
    <w:qFormat/>
    <w:pPr>
      <w:jc w:val="center"/>
      <w:widowControl/>
    </w:pPr>
    <w:rPr>
      <w:b/>
      <w:sz w:val="40"/>
    </w:rPr>
  </w:style>
  <w:style w:type="paragraph" w:styleId="850">
    <w:name w:val="Balloon Text"/>
    <w:basedOn w:val="829"/>
    <w:link w:val="836"/>
    <w:qFormat/>
    <w:rPr>
      <w:rFonts w:ascii="Tahoma" w:hAnsi="Tahoma" w:cs="Tahoma"/>
      <w:sz w:val="16"/>
      <w:szCs w:val="16"/>
    </w:rPr>
  </w:style>
  <w:style w:type="paragraph" w:styleId="851" w:customStyle="1">
    <w:name w:val="ConsPlusNormal"/>
    <w:qFormat/>
    <w:pPr>
      <w:ind w:firstLine="720"/>
      <w:jc w:val="left"/>
      <w:spacing w:before="0" w:after="0"/>
      <w:widowControl w:val="off"/>
    </w:pPr>
    <w:rPr>
      <w:rFonts w:ascii="Arial" w:hAnsi="Arial" w:eastAsia="Times New Roman" w:cs="Arial"/>
      <w:color w:val="auto"/>
      <w:sz w:val="20"/>
      <w:szCs w:val="20"/>
      <w:lang w:val="ru-RU" w:eastAsia="ru-RU" w:bidi="ar-SA"/>
    </w:rPr>
  </w:style>
  <w:style w:type="paragraph" w:styleId="852">
    <w:name w:val="List Paragraph"/>
    <w:basedOn w:val="829"/>
    <w:uiPriority w:val="34"/>
    <w:qFormat/>
    <w:pPr>
      <w:contextualSpacing/>
      <w:ind w:left="720"/>
      <w:spacing w:before="0" w:after="0"/>
    </w:pPr>
  </w:style>
  <w:style w:type="numbering" w:styleId="853" w:default="1">
    <w:name w:val="No List"/>
    <w:uiPriority w:val="99"/>
    <w:semiHidden/>
    <w:unhideWhenUsed/>
    <w:qFormat/>
  </w:style>
  <w:style w:type="table" w:styleId="854" w:default="1">
    <w:name w:val="Normal Table"/>
    <w:uiPriority w:val="99"/>
    <w:semiHidden/>
    <w:unhideWhenUsed/>
    <w:tblPr>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hyperlink" Target="https://login.consultant.ru/link/?req=doc&amp;base=RLAW021&amp;n=185601" TargetMode="External"/><Relationship Id="rId12" Type="http://schemas.openxmlformats.org/officeDocument/2006/relationships/hyperlink" Target="https://login.consultant.ru/link/?req=doc&amp;base=RLAW021&amp;n=185601&amp;dst=101272" TargetMode="External"/><Relationship Id="rId13" Type="http://schemas.openxmlformats.org/officeDocument/2006/relationships/hyperlink" Target="https://login.consultant.ru/link/?req=doc&amp;base=RLAW021&amp;n=185601&amp;dst=101272" TargetMode="External"/><Relationship Id="rId14" Type="http://schemas.openxmlformats.org/officeDocument/2006/relationships/hyperlink" Target="https://login.consultant.ru/link/?req=doc&amp;base=RLAW021&amp;n=185601&amp;dst=101272" TargetMode="External"/><Relationship Id="rId15" Type="http://schemas.openxmlformats.org/officeDocument/2006/relationships/hyperlink" Target="https://login.consultant.ru/link/?req=doc&amp;base=RLAW021&amp;n=185601&amp;dst=101272" TargetMode="External"/><Relationship Id="rId16" Type="http://schemas.openxmlformats.org/officeDocument/2006/relationships/hyperlink" Target="https://login.consultant.ru/link/?req=doc&amp;base=RLAW021&amp;n=185601&amp;dst=101272" TargetMode="External"/><Relationship Id="rId17" Type="http://schemas.openxmlformats.org/officeDocument/2006/relationships/hyperlink" Target="https://login.consultant.ru/link/?req=doc&amp;base=RLAW021&amp;n=185601&amp;dst=101272" TargetMode="External"/><Relationship Id="rId18" Type="http://schemas.openxmlformats.org/officeDocument/2006/relationships/hyperlink" Target="https://login.consultant.ru/link/?req=doc&amp;base=RLAW021&amp;n=185601&amp;dst=10127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CFAD4-1B35-4DEA-A4CE-F17FBFE4B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Р7-Офис/2024.3.1.487</Application>
  <Company>КонсультантПлюс Версия 4024.00.51</Company>
  <Template>Постановление Правительства</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Пензенской обл. от 27.02.2014 N 126-пП(ред. от 18.09.2024)"Об утверждении порядков реализации комплекса процессных мероприятий "Социальная поддержка отдельных категорий граждан Пензенской области при улучшении жилищных условий" и мероприятия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области"(вместе с "Порядками...")</dc:title>
  <dc:subject/>
  <dc:creator>Черепкова Наталья Константина</dc:creator>
  <dc:description/>
  <dc:language>ru-RU</dc:language>
  <cp:revision>21</cp:revision>
  <dcterms:created xsi:type="dcterms:W3CDTF">2024-12-23T11:58:00Z</dcterms:created>
  <dcterms:modified xsi:type="dcterms:W3CDTF">2025-01-27T06:33:07Z</dcterms:modified>
</cp:coreProperties>
</file>

<file path=docProps/custom.xml><?xml version="1.0" encoding="utf-8"?>
<Properties xmlns="http://schemas.openxmlformats.org/officeDocument/2006/custom-properties" xmlns:vt="http://schemas.openxmlformats.org/officeDocument/2006/docPropsVTypes"/>
</file>